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4DDDB377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AA2C07">
        <w:rPr>
          <w:rFonts w:cs="Arial"/>
          <w:b/>
          <w:bCs/>
          <w:spacing w:val="-2"/>
          <w:szCs w:val="24"/>
        </w:rPr>
        <w:t>February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0374C">
        <w:rPr>
          <w:rFonts w:cs="Arial"/>
          <w:b/>
          <w:bCs/>
          <w:spacing w:val="-2"/>
          <w:szCs w:val="24"/>
        </w:rPr>
        <w:t>2025</w:t>
      </w:r>
    </w:p>
    <w:p w14:paraId="4AD97AB3" w14:textId="21104150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 changes to the Medi-Cal rates file for services rendered on or after</w:t>
      </w:r>
      <w:r w:rsidR="00014FD5">
        <w:rPr>
          <w:rFonts w:cs="Arial"/>
        </w:rPr>
        <w:t xml:space="preserve"> </w:t>
      </w:r>
      <w:r w:rsidR="00AA2C07">
        <w:rPr>
          <w:rFonts w:cs="Arial"/>
        </w:rPr>
        <w:t>February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363D18F5" w14:textId="7D17EA0F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AA2C07">
        <w:rPr>
          <w:rFonts w:cs="Arial"/>
        </w:rPr>
        <w:t>February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AA2C07">
        <w:rPr>
          <w:rFonts w:cs="Arial"/>
        </w:rPr>
        <w:t>February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3F6F8B75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AA2C07">
        <w:rPr>
          <w:rFonts w:cs="Arial"/>
          <w:szCs w:val="24"/>
        </w:rPr>
        <w:t>February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B33113">
        <w:rPr>
          <w:rFonts w:cs="Arial"/>
          <w:szCs w:val="24"/>
        </w:rPr>
        <w:t>8</w:t>
      </w:r>
      <w:r w:rsidRPr="00D045E6">
        <w:rPr>
          <w:rFonts w:cs="Arial"/>
          <w:szCs w:val="24"/>
        </w:rPr>
        <w:t>,</w:t>
      </w:r>
      <w:r w:rsidR="00464D9E">
        <w:rPr>
          <w:rFonts w:cs="Arial"/>
          <w:szCs w:val="24"/>
        </w:rPr>
        <w:t xml:space="preserve"> </w:t>
      </w:r>
      <w:r w:rsidR="0050374C">
        <w:rPr>
          <w:rFonts w:cs="Arial"/>
          <w:szCs w:val="24"/>
        </w:rPr>
        <w:t>2025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37F5" w14:textId="77777777" w:rsidR="00B6556B" w:rsidRDefault="00B6556B" w:rsidP="004D2DA6">
      <w:r>
        <w:separator/>
      </w:r>
    </w:p>
  </w:endnote>
  <w:endnote w:type="continuationSeparator" w:id="0">
    <w:p w14:paraId="15895A61" w14:textId="77777777" w:rsidR="00B6556B" w:rsidRDefault="00B6556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772E" w14:textId="77777777" w:rsidR="00B6556B" w:rsidRDefault="00B6556B" w:rsidP="004D2DA6">
      <w:r>
        <w:separator/>
      </w:r>
    </w:p>
  </w:footnote>
  <w:footnote w:type="continuationSeparator" w:id="0">
    <w:p w14:paraId="6A3E4391" w14:textId="77777777" w:rsidR="00B6556B" w:rsidRDefault="00B6556B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40BB"/>
    <w:rsid w:val="00014100"/>
    <w:rsid w:val="00014FD5"/>
    <w:rsid w:val="000215AD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53397"/>
    <w:rsid w:val="00056EED"/>
    <w:rsid w:val="00063D2E"/>
    <w:rsid w:val="00064619"/>
    <w:rsid w:val="0007327A"/>
    <w:rsid w:val="00074251"/>
    <w:rsid w:val="000801B1"/>
    <w:rsid w:val="00080431"/>
    <w:rsid w:val="000813B4"/>
    <w:rsid w:val="00086E91"/>
    <w:rsid w:val="00086EA4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D5D02"/>
    <w:rsid w:val="001D7AC9"/>
    <w:rsid w:val="001E0BC4"/>
    <w:rsid w:val="001E648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635AF"/>
    <w:rsid w:val="002641D4"/>
    <w:rsid w:val="00264700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A01DB"/>
    <w:rsid w:val="002A1271"/>
    <w:rsid w:val="002A4AD4"/>
    <w:rsid w:val="002A5522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5A06"/>
    <w:rsid w:val="004073EC"/>
    <w:rsid w:val="00407EC6"/>
    <w:rsid w:val="0041066A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607DA"/>
    <w:rsid w:val="00463586"/>
    <w:rsid w:val="00464D9E"/>
    <w:rsid w:val="00477050"/>
    <w:rsid w:val="00477D36"/>
    <w:rsid w:val="00485D4E"/>
    <w:rsid w:val="004905AD"/>
    <w:rsid w:val="004B2847"/>
    <w:rsid w:val="004B4D4C"/>
    <w:rsid w:val="004C641F"/>
    <w:rsid w:val="004D2DA6"/>
    <w:rsid w:val="004D4E73"/>
    <w:rsid w:val="004D50C4"/>
    <w:rsid w:val="004E1FA2"/>
    <w:rsid w:val="004E288D"/>
    <w:rsid w:val="004E358F"/>
    <w:rsid w:val="004E44AC"/>
    <w:rsid w:val="004E5BB8"/>
    <w:rsid w:val="004E61B9"/>
    <w:rsid w:val="004E74D4"/>
    <w:rsid w:val="004F6461"/>
    <w:rsid w:val="00502309"/>
    <w:rsid w:val="00502784"/>
    <w:rsid w:val="0050374C"/>
    <w:rsid w:val="00512BDC"/>
    <w:rsid w:val="005229E4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0F83"/>
    <w:rsid w:val="005A5DA7"/>
    <w:rsid w:val="005A63EF"/>
    <w:rsid w:val="005B24B8"/>
    <w:rsid w:val="005B4A13"/>
    <w:rsid w:val="005B4C2E"/>
    <w:rsid w:val="005B7809"/>
    <w:rsid w:val="005C0A5E"/>
    <w:rsid w:val="005C76F0"/>
    <w:rsid w:val="005D0ED1"/>
    <w:rsid w:val="005D34B2"/>
    <w:rsid w:val="005D4344"/>
    <w:rsid w:val="005D4F8A"/>
    <w:rsid w:val="005E01D8"/>
    <w:rsid w:val="005E371F"/>
    <w:rsid w:val="005E538D"/>
    <w:rsid w:val="005E552B"/>
    <w:rsid w:val="005E7CDE"/>
    <w:rsid w:val="005F0496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81372"/>
    <w:rsid w:val="006819A5"/>
    <w:rsid w:val="00682010"/>
    <w:rsid w:val="006855AD"/>
    <w:rsid w:val="006916ED"/>
    <w:rsid w:val="00692C35"/>
    <w:rsid w:val="006A2E82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6163"/>
    <w:rsid w:val="00723DDC"/>
    <w:rsid w:val="00731345"/>
    <w:rsid w:val="00736175"/>
    <w:rsid w:val="00740EB4"/>
    <w:rsid w:val="007451EE"/>
    <w:rsid w:val="007507E8"/>
    <w:rsid w:val="0075609D"/>
    <w:rsid w:val="00765752"/>
    <w:rsid w:val="00772A41"/>
    <w:rsid w:val="007742FF"/>
    <w:rsid w:val="00787BE2"/>
    <w:rsid w:val="00791248"/>
    <w:rsid w:val="007A0E16"/>
    <w:rsid w:val="007A7084"/>
    <w:rsid w:val="007B01A4"/>
    <w:rsid w:val="007B58BF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33D43"/>
    <w:rsid w:val="00A41A49"/>
    <w:rsid w:val="00A47EBB"/>
    <w:rsid w:val="00A51F00"/>
    <w:rsid w:val="00A552BB"/>
    <w:rsid w:val="00A55D91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2C07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686C"/>
    <w:rsid w:val="00B015AF"/>
    <w:rsid w:val="00B0285B"/>
    <w:rsid w:val="00B04B6A"/>
    <w:rsid w:val="00B10805"/>
    <w:rsid w:val="00B15382"/>
    <w:rsid w:val="00B220D6"/>
    <w:rsid w:val="00B23A32"/>
    <w:rsid w:val="00B24105"/>
    <w:rsid w:val="00B24A69"/>
    <w:rsid w:val="00B26649"/>
    <w:rsid w:val="00B30C4B"/>
    <w:rsid w:val="00B33113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D2E69"/>
    <w:rsid w:val="00CD5BC9"/>
    <w:rsid w:val="00CD75C5"/>
    <w:rsid w:val="00CD79A9"/>
    <w:rsid w:val="00CE2560"/>
    <w:rsid w:val="00CF04ED"/>
    <w:rsid w:val="00CF15CA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790"/>
    <w:rsid w:val="00DE70E4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7579D"/>
    <w:rsid w:val="00F801C7"/>
    <w:rsid w:val="00F85472"/>
    <w:rsid w:val="00F86159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1/15/2025</vt:lpstr>
    </vt:vector>
  </TitlesOfParts>
  <Company/>
  <LinksUpToDate>false</LinksUpToDate>
  <CharactersWithSpaces>1513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2/15/2025</dc:title>
  <dc:subject/>
  <dc:creator>Division of Workers' Compensation</dc:creator>
  <cp:keywords/>
  <cp:lastModifiedBy>Wu, Xiaoyan@DIR</cp:lastModifiedBy>
  <cp:revision>111</cp:revision>
  <dcterms:created xsi:type="dcterms:W3CDTF">2023-04-17T19:40:00Z</dcterms:created>
  <dcterms:modified xsi:type="dcterms:W3CDTF">2025-02-18T16:13:00Z</dcterms:modified>
</cp:coreProperties>
</file>