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7F07" w14:textId="729554CB" w:rsidR="006E6345" w:rsidRDefault="006E6345" w:rsidP="00330140">
      <w:pPr>
        <w:pStyle w:val="Title"/>
        <w:spacing w:after="240"/>
        <w:outlineLvl w:val="0"/>
        <w:rPr>
          <w:rFonts w:ascii="Arial" w:hAnsi="Arial" w:cs="Arial"/>
        </w:rPr>
      </w:pPr>
      <w:r w:rsidRPr="006E014E">
        <w:rPr>
          <w:rFonts w:ascii="Arial" w:hAnsi="Arial" w:cs="Arial"/>
        </w:rPr>
        <w:t xml:space="preserve">OMFS Update </w:t>
      </w:r>
      <w:r w:rsidR="00330140">
        <w:rPr>
          <w:rFonts w:ascii="Arial" w:hAnsi="Arial" w:cs="Arial"/>
        </w:rPr>
        <w:t>for Inpatient Hospital Services</w:t>
      </w:r>
      <w:r w:rsidR="00330140">
        <w:rPr>
          <w:rFonts w:ascii="Arial" w:hAnsi="Arial" w:cs="Arial"/>
        </w:rPr>
        <w:br/>
      </w:r>
      <w:r w:rsidRPr="006E014E">
        <w:rPr>
          <w:rFonts w:ascii="Arial" w:hAnsi="Arial" w:cs="Arial"/>
        </w:rPr>
        <w:t xml:space="preserve">(Effective for discharges occurring on or after </w:t>
      </w:r>
      <w:r w:rsidR="00DA11EC">
        <w:rPr>
          <w:rFonts w:ascii="Arial" w:hAnsi="Arial" w:cs="Arial"/>
        </w:rPr>
        <w:t>December</w:t>
      </w:r>
      <w:r w:rsidR="007167EC">
        <w:rPr>
          <w:rFonts w:ascii="Arial" w:hAnsi="Arial" w:cs="Arial"/>
        </w:rPr>
        <w:t xml:space="preserve"> 1, 202</w:t>
      </w:r>
      <w:r w:rsidR="004C5314">
        <w:rPr>
          <w:rFonts w:ascii="Arial" w:hAnsi="Arial" w:cs="Arial"/>
        </w:rPr>
        <w:t>5</w:t>
      </w:r>
      <w:r w:rsidRPr="006E014E">
        <w:rPr>
          <w:rFonts w:ascii="Arial" w:hAnsi="Arial" w:cs="Arial"/>
        </w:rPr>
        <w:t>)</w:t>
      </w:r>
    </w:p>
    <w:p w14:paraId="7ED0228E" w14:textId="77777777" w:rsidR="006E6345" w:rsidRPr="006E014E" w:rsidRDefault="006E6345" w:rsidP="006E6345">
      <w:pPr>
        <w:numPr>
          <w:ilvl w:val="0"/>
          <w:numId w:val="1"/>
        </w:numPr>
        <w:rPr>
          <w:rFonts w:ascii="Arial" w:hAnsi="Arial" w:cs="Arial"/>
        </w:rPr>
      </w:pPr>
      <w:r w:rsidRPr="006E014E">
        <w:rPr>
          <w:rFonts w:ascii="Arial" w:hAnsi="Arial" w:cs="Arial"/>
        </w:rPr>
        <w:t>Data Sources</w:t>
      </w:r>
    </w:p>
    <w:p w14:paraId="04F4F589" w14:textId="7E5ABED5" w:rsidR="00ED52EC" w:rsidRPr="00807231" w:rsidRDefault="006E6345" w:rsidP="00807231">
      <w:pPr>
        <w:pStyle w:val="ListParagraph"/>
        <w:numPr>
          <w:ilvl w:val="1"/>
          <w:numId w:val="1"/>
        </w:numPr>
        <w:spacing w:after="240"/>
        <w:rPr>
          <w:rFonts w:ascii="Arial" w:hAnsi="Arial" w:cs="Arial"/>
          <w:b/>
          <w:bCs/>
        </w:rPr>
      </w:pPr>
      <w:r w:rsidRPr="006C5DBE">
        <w:rPr>
          <w:rFonts w:ascii="Arial" w:hAnsi="Arial" w:cs="Arial"/>
        </w:rPr>
        <w:t>The Medicare FY</w:t>
      </w:r>
      <w:r w:rsidR="008D3B44">
        <w:rPr>
          <w:rFonts w:ascii="Arial" w:hAnsi="Arial" w:cs="Arial"/>
        </w:rPr>
        <w:t>2</w:t>
      </w:r>
      <w:r w:rsidR="004C5314">
        <w:rPr>
          <w:rFonts w:ascii="Arial" w:hAnsi="Arial" w:cs="Arial"/>
        </w:rPr>
        <w:t>6</w:t>
      </w:r>
      <w:r w:rsidRPr="006C5DBE">
        <w:rPr>
          <w:rFonts w:ascii="Arial" w:hAnsi="Arial" w:cs="Arial"/>
        </w:rPr>
        <w:t xml:space="preserve"> </w:t>
      </w:r>
      <w:r w:rsidR="00942E0E">
        <w:rPr>
          <w:rFonts w:ascii="Arial" w:hAnsi="Arial" w:cs="Arial"/>
        </w:rPr>
        <w:t xml:space="preserve">Final Rule </w:t>
      </w:r>
      <w:r w:rsidRPr="006C5DBE">
        <w:rPr>
          <w:rFonts w:ascii="Arial" w:hAnsi="Arial" w:cs="Arial"/>
        </w:rPr>
        <w:t>update</w:t>
      </w:r>
      <w:r w:rsidR="00942E0E">
        <w:rPr>
          <w:rFonts w:ascii="Arial" w:hAnsi="Arial" w:cs="Arial"/>
        </w:rPr>
        <w:t>s</w:t>
      </w:r>
      <w:r w:rsidRPr="006C5DBE">
        <w:rPr>
          <w:rFonts w:ascii="Arial" w:hAnsi="Arial" w:cs="Arial"/>
        </w:rPr>
        <w:t xml:space="preserve"> to the inpatient prospective payment system </w:t>
      </w:r>
      <w:r w:rsidR="00942E0E">
        <w:rPr>
          <w:rFonts w:ascii="Arial" w:hAnsi="Arial" w:cs="Arial"/>
        </w:rPr>
        <w:t xml:space="preserve">was published </w:t>
      </w:r>
      <w:r w:rsidRPr="006C5DBE">
        <w:rPr>
          <w:rFonts w:ascii="Arial" w:hAnsi="Arial" w:cs="Arial"/>
        </w:rPr>
        <w:t xml:space="preserve">in the Federal Register (Vol. </w:t>
      </w:r>
      <w:r w:rsidR="000C4AD2">
        <w:rPr>
          <w:rFonts w:ascii="Arial" w:hAnsi="Arial" w:cs="Arial"/>
        </w:rPr>
        <w:t>90</w:t>
      </w:r>
      <w:r w:rsidRPr="006C5DBE">
        <w:rPr>
          <w:rFonts w:ascii="Arial" w:hAnsi="Arial" w:cs="Arial"/>
        </w:rPr>
        <w:t xml:space="preserve"> FR </w:t>
      </w:r>
      <w:r w:rsidR="00564193">
        <w:rPr>
          <w:rFonts w:ascii="Arial" w:hAnsi="Arial" w:cs="Arial"/>
        </w:rPr>
        <w:t>36536</w:t>
      </w:r>
      <w:r w:rsidRPr="006C5DBE">
        <w:rPr>
          <w:rFonts w:ascii="Arial" w:hAnsi="Arial" w:cs="Arial"/>
        </w:rPr>
        <w:t xml:space="preserve">) </w:t>
      </w:r>
      <w:r w:rsidR="00942E0E" w:rsidRPr="006C5DBE">
        <w:rPr>
          <w:rFonts w:ascii="Arial" w:hAnsi="Arial" w:cs="Arial"/>
        </w:rPr>
        <w:t xml:space="preserve">on </w:t>
      </w:r>
      <w:r w:rsidR="00942E0E">
        <w:rPr>
          <w:rFonts w:ascii="Arial" w:hAnsi="Arial" w:cs="Arial"/>
        </w:rPr>
        <w:t xml:space="preserve">August </w:t>
      </w:r>
      <w:r w:rsidR="00564193">
        <w:rPr>
          <w:rFonts w:ascii="Arial" w:hAnsi="Arial" w:cs="Arial"/>
        </w:rPr>
        <w:t>4</w:t>
      </w:r>
      <w:r w:rsidR="00942E0E">
        <w:rPr>
          <w:rFonts w:ascii="Arial" w:hAnsi="Arial" w:cs="Arial"/>
        </w:rPr>
        <w:t>, 202</w:t>
      </w:r>
      <w:r w:rsidR="00564193">
        <w:rPr>
          <w:rFonts w:ascii="Arial" w:hAnsi="Arial" w:cs="Arial"/>
        </w:rPr>
        <w:t>5</w:t>
      </w:r>
      <w:r w:rsidR="00942E0E">
        <w:rPr>
          <w:rFonts w:ascii="Arial" w:hAnsi="Arial" w:cs="Arial"/>
        </w:rPr>
        <w:t xml:space="preserve"> </w:t>
      </w:r>
      <w:r w:rsidRPr="006C5DBE">
        <w:rPr>
          <w:rFonts w:ascii="Arial" w:hAnsi="Arial" w:cs="Arial"/>
        </w:rPr>
        <w:t>and is entitled “</w:t>
      </w:r>
      <w:r w:rsidRPr="006C5DBE">
        <w:rPr>
          <w:rFonts w:ascii="Arial" w:hAnsi="Arial" w:cs="Arial"/>
          <w:bCs/>
        </w:rPr>
        <w:t>Medicare Program</w:t>
      </w:r>
      <w:r w:rsidR="005700B6">
        <w:rPr>
          <w:rFonts w:ascii="Arial" w:hAnsi="Arial" w:cs="Arial"/>
          <w:bCs/>
        </w:rPr>
        <w:t>;</w:t>
      </w:r>
      <w:r w:rsidR="00C60E89">
        <w:rPr>
          <w:rFonts w:ascii="Arial" w:hAnsi="Arial" w:cs="Arial"/>
          <w:bCs/>
        </w:rPr>
        <w:t xml:space="preserve"> </w:t>
      </w:r>
      <w:r w:rsidRPr="006C5DBE">
        <w:rPr>
          <w:rFonts w:ascii="Arial" w:hAnsi="Arial" w:cs="Arial"/>
          <w:bCs/>
        </w:rPr>
        <w:t xml:space="preserve">Hospital Inpatient Prospective Payment Systems for Acute Care Hospitals </w:t>
      </w:r>
      <w:r w:rsidR="00CC75EC">
        <w:rPr>
          <w:rFonts w:ascii="Arial" w:hAnsi="Arial" w:cs="Arial"/>
          <w:bCs/>
        </w:rPr>
        <w:t xml:space="preserve">(IPPS) </w:t>
      </w:r>
      <w:r w:rsidRPr="006C5DBE">
        <w:rPr>
          <w:rFonts w:ascii="Arial" w:hAnsi="Arial" w:cs="Arial"/>
          <w:bCs/>
        </w:rPr>
        <w:t>and the Lo</w:t>
      </w:r>
      <w:r w:rsidR="00846701">
        <w:rPr>
          <w:rFonts w:ascii="Arial" w:hAnsi="Arial" w:cs="Arial"/>
          <w:bCs/>
        </w:rPr>
        <w:t>ng-</w:t>
      </w:r>
      <w:r w:rsidRPr="006C5DBE">
        <w:rPr>
          <w:rFonts w:ascii="Arial" w:hAnsi="Arial" w:cs="Arial"/>
          <w:bCs/>
        </w:rPr>
        <w:t xml:space="preserve">Term Care Hospital Prospective Payment System and Policy Changes </w:t>
      </w:r>
      <w:r w:rsidR="00846701">
        <w:rPr>
          <w:rFonts w:ascii="Arial" w:hAnsi="Arial" w:cs="Arial"/>
          <w:bCs/>
        </w:rPr>
        <w:t xml:space="preserve">and Fiscal Year </w:t>
      </w:r>
      <w:r w:rsidR="00ED082B">
        <w:rPr>
          <w:rFonts w:ascii="Arial" w:hAnsi="Arial" w:cs="Arial"/>
          <w:bCs/>
        </w:rPr>
        <w:t xml:space="preserve">(FY) </w:t>
      </w:r>
      <w:r w:rsidR="00846701">
        <w:rPr>
          <w:rFonts w:ascii="Arial" w:hAnsi="Arial" w:cs="Arial"/>
          <w:bCs/>
        </w:rPr>
        <w:t>202</w:t>
      </w:r>
      <w:r w:rsidR="00ED082B">
        <w:rPr>
          <w:rFonts w:ascii="Arial" w:hAnsi="Arial" w:cs="Arial"/>
          <w:bCs/>
        </w:rPr>
        <w:t>6</w:t>
      </w:r>
      <w:r w:rsidR="006C5DBE" w:rsidRPr="006C5DBE">
        <w:rPr>
          <w:rFonts w:ascii="Arial" w:hAnsi="Arial" w:cs="Arial"/>
          <w:bCs/>
        </w:rPr>
        <w:t xml:space="preserve"> </w:t>
      </w:r>
      <w:r w:rsidRPr="006C5DBE">
        <w:rPr>
          <w:rFonts w:ascii="Arial" w:hAnsi="Arial" w:cs="Arial"/>
          <w:bCs/>
        </w:rPr>
        <w:t xml:space="preserve">Rates; </w:t>
      </w:r>
      <w:r w:rsidR="00481D7E">
        <w:rPr>
          <w:rFonts w:ascii="Arial" w:hAnsi="Arial" w:cs="Arial"/>
          <w:bCs/>
        </w:rPr>
        <w:t xml:space="preserve">Changes to the FY 2025 IPPS Rates Due to Court Decision; Requirements for </w:t>
      </w:r>
      <w:r w:rsidRPr="006C5DBE">
        <w:rPr>
          <w:rFonts w:ascii="Arial" w:hAnsi="Arial" w:cs="Arial"/>
          <w:bCs/>
        </w:rPr>
        <w:t xml:space="preserve">Quality </w:t>
      </w:r>
      <w:r w:rsidR="006C5DBE" w:rsidRPr="006C5DBE">
        <w:rPr>
          <w:rFonts w:ascii="Arial" w:hAnsi="Arial" w:cs="Arial"/>
          <w:bCs/>
        </w:rPr>
        <w:t>Programs</w:t>
      </w:r>
      <w:r w:rsidR="00ED52EC">
        <w:rPr>
          <w:rFonts w:ascii="Arial" w:hAnsi="Arial" w:cs="Arial"/>
          <w:bCs/>
        </w:rPr>
        <w:t>; and Other Policy Changes</w:t>
      </w:r>
      <w:r w:rsidR="006D273F">
        <w:rPr>
          <w:rFonts w:ascii="Arial" w:hAnsi="Arial" w:cs="Arial"/>
          <w:bCs/>
        </w:rPr>
        <w:t>; Health Data, Technology, and Interoperability: Electronic Prescribing, Real-Time Prescription</w:t>
      </w:r>
      <w:r w:rsidR="00807231">
        <w:rPr>
          <w:rFonts w:ascii="Arial" w:hAnsi="Arial" w:cs="Arial"/>
          <w:bCs/>
        </w:rPr>
        <w:t xml:space="preserve"> Benefit and Electronic Prior Authorization</w:t>
      </w:r>
      <w:r w:rsidR="00ED52EC">
        <w:rPr>
          <w:rFonts w:ascii="Arial" w:hAnsi="Arial" w:cs="Arial"/>
          <w:bCs/>
        </w:rPr>
        <w:t xml:space="preserve">.” </w:t>
      </w:r>
      <w:r w:rsidR="00D61A90">
        <w:rPr>
          <w:rFonts w:ascii="Arial" w:hAnsi="Arial" w:cs="Arial"/>
          <w:bCs/>
        </w:rPr>
        <w:t xml:space="preserve">This document is available </w:t>
      </w:r>
      <w:r w:rsidR="009D3EB2">
        <w:rPr>
          <w:rFonts w:ascii="Arial" w:hAnsi="Arial" w:cs="Arial"/>
        </w:rPr>
        <w:t xml:space="preserve">on the Centers for Medicare and Medicaid Services’ (CMS) </w:t>
      </w:r>
      <w:hyperlink r:id="rId11" w:history="1">
        <w:r w:rsidR="009D3EB2" w:rsidRPr="00A505FB">
          <w:rPr>
            <w:rStyle w:val="Hyperlink"/>
            <w:rFonts w:ascii="Arial" w:hAnsi="Arial" w:cs="Arial"/>
          </w:rPr>
          <w:t>FY 2026 IPPS Final Rule Home Page.</w:t>
        </w:r>
      </w:hyperlink>
    </w:p>
    <w:p w14:paraId="193610A8" w14:textId="77777777" w:rsidR="00870948" w:rsidRPr="00EC1511" w:rsidRDefault="00870948" w:rsidP="00870948">
      <w:pPr>
        <w:pStyle w:val="ListParagraph"/>
        <w:spacing w:after="240"/>
        <w:ind w:left="1440"/>
        <w:rPr>
          <w:rFonts w:ascii="Arial" w:hAnsi="Arial" w:cs="Arial"/>
        </w:rPr>
      </w:pPr>
    </w:p>
    <w:p w14:paraId="11CA9AD3" w14:textId="49D4EB09" w:rsidR="008C6A6C" w:rsidRPr="0005225C" w:rsidRDefault="00E1432A" w:rsidP="00ED52EC">
      <w:pPr>
        <w:pStyle w:val="ListParagraph"/>
        <w:numPr>
          <w:ilvl w:val="1"/>
          <w:numId w:val="1"/>
        </w:numPr>
        <w:autoSpaceDE w:val="0"/>
        <w:autoSpaceDN w:val="0"/>
        <w:adjustRightInd w:val="0"/>
        <w:spacing w:after="240"/>
        <w:contextualSpacing w:val="0"/>
        <w:rPr>
          <w:rFonts w:ascii="Arial" w:hAnsi="Arial" w:cs="Arial"/>
          <w:bCs/>
        </w:rPr>
      </w:pPr>
      <w:r>
        <w:rPr>
          <w:rFonts w:ascii="Arial" w:hAnsi="Arial" w:cs="Arial"/>
        </w:rPr>
        <w:t xml:space="preserve">The Medicare Acute Inpatient Hospital FY </w:t>
      </w:r>
      <w:r w:rsidR="00846701">
        <w:rPr>
          <w:rFonts w:ascii="Arial" w:hAnsi="Arial" w:cs="Arial"/>
        </w:rPr>
        <w:t>202</w:t>
      </w:r>
      <w:r w:rsidR="00646F62">
        <w:rPr>
          <w:rFonts w:ascii="Arial" w:hAnsi="Arial" w:cs="Arial"/>
        </w:rPr>
        <w:t>6</w:t>
      </w:r>
      <w:r w:rsidR="00394153">
        <w:rPr>
          <w:rFonts w:ascii="Arial" w:hAnsi="Arial" w:cs="Arial"/>
        </w:rPr>
        <w:t xml:space="preserve"> Final R</w:t>
      </w:r>
      <w:r>
        <w:rPr>
          <w:rFonts w:ascii="Arial" w:hAnsi="Arial" w:cs="Arial"/>
        </w:rPr>
        <w:t>ule</w:t>
      </w:r>
      <w:r w:rsidR="00846701">
        <w:rPr>
          <w:rFonts w:ascii="Arial" w:hAnsi="Arial" w:cs="Arial"/>
        </w:rPr>
        <w:t xml:space="preserve"> (CMS-</w:t>
      </w:r>
      <w:r w:rsidR="005B7737">
        <w:rPr>
          <w:rFonts w:ascii="Arial" w:hAnsi="Arial" w:cs="Arial"/>
        </w:rPr>
        <w:t>18</w:t>
      </w:r>
      <w:r w:rsidR="00D94A6F">
        <w:rPr>
          <w:rFonts w:ascii="Arial" w:hAnsi="Arial" w:cs="Arial"/>
        </w:rPr>
        <w:t>33</w:t>
      </w:r>
      <w:r w:rsidR="007167EC">
        <w:rPr>
          <w:rFonts w:ascii="Arial" w:hAnsi="Arial" w:cs="Arial"/>
        </w:rPr>
        <w:t>-F)</w:t>
      </w:r>
      <w:r w:rsidR="00870948">
        <w:rPr>
          <w:rFonts w:ascii="Arial" w:hAnsi="Arial" w:cs="Arial"/>
        </w:rPr>
        <w:t xml:space="preserve">, </w:t>
      </w:r>
      <w:r w:rsidR="007167EC">
        <w:rPr>
          <w:rFonts w:ascii="Arial" w:hAnsi="Arial" w:cs="Arial"/>
        </w:rPr>
        <w:t xml:space="preserve">and </w:t>
      </w:r>
      <w:r w:rsidR="004216FF">
        <w:rPr>
          <w:rFonts w:ascii="Arial" w:hAnsi="Arial" w:cs="Arial"/>
        </w:rPr>
        <w:t>related tables are</w:t>
      </w:r>
      <w:r>
        <w:rPr>
          <w:rFonts w:ascii="Arial" w:hAnsi="Arial" w:cs="Arial"/>
        </w:rPr>
        <w:t xml:space="preserve"> available on the Centers for Medicare and Medicaid Services</w:t>
      </w:r>
      <w:r w:rsidR="004216FF">
        <w:rPr>
          <w:rFonts w:ascii="Arial" w:hAnsi="Arial" w:cs="Arial"/>
        </w:rPr>
        <w:t>’</w:t>
      </w:r>
      <w:r>
        <w:rPr>
          <w:rFonts w:ascii="Arial" w:hAnsi="Arial" w:cs="Arial"/>
        </w:rPr>
        <w:t xml:space="preserve"> (CMS) </w:t>
      </w:r>
      <w:hyperlink r:id="rId12" w:history="1">
        <w:r w:rsidR="00846701" w:rsidRPr="00A505FB">
          <w:rPr>
            <w:rStyle w:val="Hyperlink"/>
            <w:rFonts w:ascii="Arial" w:hAnsi="Arial" w:cs="Arial"/>
          </w:rPr>
          <w:t>FY 202</w:t>
        </w:r>
        <w:r w:rsidR="00885DAB" w:rsidRPr="00A505FB">
          <w:rPr>
            <w:rStyle w:val="Hyperlink"/>
            <w:rFonts w:ascii="Arial" w:hAnsi="Arial" w:cs="Arial"/>
          </w:rPr>
          <w:t>6</w:t>
        </w:r>
        <w:r w:rsidR="004216FF" w:rsidRPr="00A505FB">
          <w:rPr>
            <w:rStyle w:val="Hyperlink"/>
            <w:rFonts w:ascii="Arial" w:hAnsi="Arial" w:cs="Arial"/>
          </w:rPr>
          <w:t xml:space="preserve"> IPPS Final Rule Home Page.</w:t>
        </w:r>
      </w:hyperlink>
    </w:p>
    <w:p w14:paraId="7F86FE62" w14:textId="7AC69620" w:rsidR="006E6345" w:rsidRPr="004E28D4" w:rsidRDefault="006E6345" w:rsidP="004E28D4">
      <w:pPr>
        <w:pStyle w:val="ListParagraph"/>
        <w:numPr>
          <w:ilvl w:val="1"/>
          <w:numId w:val="1"/>
        </w:numPr>
        <w:spacing w:after="240"/>
        <w:rPr>
          <w:rFonts w:ascii="Arial" w:hAnsi="Arial" w:cs="Arial"/>
        </w:rPr>
      </w:pPr>
      <w:r w:rsidRPr="004E28D4">
        <w:rPr>
          <w:rFonts w:ascii="Arial" w:hAnsi="Arial" w:cs="Arial"/>
        </w:rPr>
        <w:t>The public use file used to calculate the composite rates is entitled “</w:t>
      </w:r>
      <w:r w:rsidR="000668E7">
        <w:rPr>
          <w:rFonts w:ascii="Arial" w:hAnsi="Arial" w:cs="Arial"/>
        </w:rPr>
        <w:t>FY 202</w:t>
      </w:r>
      <w:r w:rsidR="00E54C0C">
        <w:rPr>
          <w:rFonts w:ascii="Arial" w:hAnsi="Arial" w:cs="Arial"/>
        </w:rPr>
        <w:t>6</w:t>
      </w:r>
      <w:r w:rsidR="006C5DBE" w:rsidRPr="004E28D4">
        <w:rPr>
          <w:rFonts w:ascii="Arial" w:hAnsi="Arial" w:cs="Arial"/>
        </w:rPr>
        <w:t xml:space="preserve"> </w:t>
      </w:r>
      <w:r w:rsidR="008A0098">
        <w:rPr>
          <w:rFonts w:ascii="Arial" w:hAnsi="Arial" w:cs="Arial"/>
        </w:rPr>
        <w:t xml:space="preserve">IPPS </w:t>
      </w:r>
      <w:r w:rsidR="006C5DBE" w:rsidRPr="004E28D4">
        <w:rPr>
          <w:rFonts w:ascii="Arial" w:hAnsi="Arial" w:cs="Arial"/>
        </w:rPr>
        <w:t xml:space="preserve">Final </w:t>
      </w:r>
      <w:r w:rsidR="000D1590">
        <w:rPr>
          <w:rFonts w:ascii="Arial" w:hAnsi="Arial" w:cs="Arial"/>
        </w:rPr>
        <w:t xml:space="preserve">Rule </w:t>
      </w:r>
      <w:r w:rsidR="006C5DBE" w:rsidRPr="004E28D4">
        <w:rPr>
          <w:rFonts w:ascii="Arial" w:hAnsi="Arial" w:cs="Arial"/>
        </w:rPr>
        <w:t>Impact File (ZIP)</w:t>
      </w:r>
      <w:r w:rsidR="00185E49" w:rsidRPr="004E28D4">
        <w:rPr>
          <w:rFonts w:ascii="Arial" w:hAnsi="Arial" w:cs="Arial"/>
        </w:rPr>
        <w:t>.</w:t>
      </w:r>
      <w:r w:rsidRPr="004E28D4">
        <w:rPr>
          <w:rFonts w:ascii="Arial" w:hAnsi="Arial" w:cs="Arial"/>
        </w:rPr>
        <w:t>” The file contains wage data posted on the CMS website.</w:t>
      </w:r>
    </w:p>
    <w:p w14:paraId="5A450DC6" w14:textId="77777777" w:rsidR="006E6345" w:rsidRPr="006E014E" w:rsidRDefault="006E6345" w:rsidP="004E28D4">
      <w:pPr>
        <w:numPr>
          <w:ilvl w:val="0"/>
          <w:numId w:val="1"/>
        </w:numPr>
        <w:spacing w:after="240"/>
        <w:rPr>
          <w:rFonts w:ascii="Arial" w:hAnsi="Arial" w:cs="Arial"/>
        </w:rPr>
      </w:pPr>
      <w:r w:rsidRPr="006E014E">
        <w:rPr>
          <w:rFonts w:ascii="Arial" w:hAnsi="Arial" w:cs="Arial"/>
        </w:rPr>
        <w:t>Composite Rate Calculation</w:t>
      </w:r>
    </w:p>
    <w:p w14:paraId="5A8EF62E" w14:textId="3D42D151" w:rsidR="006E6345" w:rsidRPr="006E014E" w:rsidRDefault="006E6345" w:rsidP="004E28D4">
      <w:pPr>
        <w:numPr>
          <w:ilvl w:val="1"/>
          <w:numId w:val="1"/>
        </w:numPr>
        <w:spacing w:after="240"/>
        <w:rPr>
          <w:rFonts w:ascii="Arial" w:hAnsi="Arial" w:cs="Arial"/>
        </w:rPr>
      </w:pPr>
      <w:r w:rsidRPr="006E014E">
        <w:rPr>
          <w:rFonts w:ascii="Arial" w:hAnsi="Arial" w:cs="Arial"/>
        </w:rPr>
        <w:t>Update to the standardized amount.</w:t>
      </w:r>
      <w:r w:rsidR="008D63FA">
        <w:rPr>
          <w:rFonts w:ascii="Arial" w:hAnsi="Arial" w:cs="Arial"/>
        </w:rPr>
        <w:t xml:space="preserve"> </w:t>
      </w:r>
      <w:r w:rsidRPr="006E014E">
        <w:rPr>
          <w:rFonts w:ascii="Arial" w:hAnsi="Arial" w:cs="Arial"/>
        </w:rPr>
        <w:t>L.C. 5307.1(g)(1)(A)(</w:t>
      </w:r>
      <w:proofErr w:type="spellStart"/>
      <w:r w:rsidRPr="006E014E">
        <w:rPr>
          <w:rFonts w:ascii="Arial" w:hAnsi="Arial" w:cs="Arial"/>
        </w:rPr>
        <w:t>i</w:t>
      </w:r>
      <w:proofErr w:type="spellEnd"/>
      <w:r w:rsidRPr="006E014E">
        <w:rPr>
          <w:rFonts w:ascii="Arial" w:hAnsi="Arial" w:cs="Arial"/>
        </w:rPr>
        <w:t>) provides that the annual inflation adjustment for inpatient hospital facility fees shall be determined solely by the estimated increase in the hospital market basket. Thus, in lieu of using the Medicare FY20</w:t>
      </w:r>
      <w:r w:rsidR="000668E7">
        <w:rPr>
          <w:rFonts w:ascii="Arial" w:hAnsi="Arial" w:cs="Arial"/>
        </w:rPr>
        <w:t>2</w:t>
      </w:r>
      <w:r w:rsidR="000F0A88">
        <w:rPr>
          <w:rFonts w:ascii="Arial" w:hAnsi="Arial" w:cs="Arial"/>
        </w:rPr>
        <w:t>6</w:t>
      </w:r>
      <w:r w:rsidRPr="006E014E">
        <w:rPr>
          <w:rFonts w:ascii="Arial" w:hAnsi="Arial" w:cs="Arial"/>
        </w:rPr>
        <w:t xml:space="preserve"> rates to determine the updated OMFS amounts, the estimated increase in the hospital market basket was applied to the </w:t>
      </w:r>
      <w:r w:rsidR="000668E7">
        <w:rPr>
          <w:rFonts w:ascii="Arial" w:hAnsi="Arial" w:cs="Arial"/>
        </w:rPr>
        <w:t>202</w:t>
      </w:r>
      <w:r w:rsidR="004920DE">
        <w:rPr>
          <w:rFonts w:ascii="Arial" w:hAnsi="Arial" w:cs="Arial"/>
        </w:rPr>
        <w:t>5</w:t>
      </w:r>
      <w:r w:rsidRPr="006E014E">
        <w:rPr>
          <w:rFonts w:ascii="Arial" w:hAnsi="Arial" w:cs="Arial"/>
        </w:rPr>
        <w:t xml:space="preserve"> OMFS rates for dates</w:t>
      </w:r>
      <w:r w:rsidR="000668E7">
        <w:rPr>
          <w:rFonts w:ascii="Arial" w:hAnsi="Arial" w:cs="Arial"/>
        </w:rPr>
        <w:t xml:space="preserve"> of discharge effective, </w:t>
      </w:r>
      <w:r w:rsidR="00870948">
        <w:rPr>
          <w:rFonts w:ascii="Arial" w:hAnsi="Arial" w:cs="Arial"/>
        </w:rPr>
        <w:t>December</w:t>
      </w:r>
      <w:r w:rsidR="000668E7">
        <w:rPr>
          <w:rFonts w:ascii="Arial" w:hAnsi="Arial" w:cs="Arial"/>
        </w:rPr>
        <w:t xml:space="preserve"> 1, 202</w:t>
      </w:r>
      <w:r w:rsidR="004920DE">
        <w:rPr>
          <w:rFonts w:ascii="Arial" w:hAnsi="Arial" w:cs="Arial"/>
        </w:rPr>
        <w:t>5</w:t>
      </w:r>
      <w:r w:rsidR="00185E49">
        <w:rPr>
          <w:rFonts w:ascii="Arial" w:hAnsi="Arial" w:cs="Arial"/>
        </w:rPr>
        <w:t>.</w:t>
      </w:r>
    </w:p>
    <w:p w14:paraId="1283FAB0" w14:textId="77777777" w:rsidR="006E6345" w:rsidRPr="006E014E" w:rsidRDefault="006E6345" w:rsidP="006E6345">
      <w:pPr>
        <w:numPr>
          <w:ilvl w:val="1"/>
          <w:numId w:val="1"/>
        </w:numPr>
        <w:rPr>
          <w:rFonts w:ascii="Arial" w:hAnsi="Arial" w:cs="Arial"/>
        </w:rPr>
      </w:pPr>
      <w:r w:rsidRPr="006E014E">
        <w:rPr>
          <w:rFonts w:ascii="Arial" w:hAnsi="Arial" w:cs="Arial"/>
        </w:rPr>
        <w:t>OMFS rate for operating costs</w:t>
      </w:r>
    </w:p>
    <w:p w14:paraId="6C34E1F7" w14:textId="3790020A" w:rsidR="006E6345" w:rsidRPr="006E014E" w:rsidRDefault="006E6345" w:rsidP="006E6345">
      <w:pPr>
        <w:numPr>
          <w:ilvl w:val="2"/>
          <w:numId w:val="1"/>
        </w:numPr>
        <w:rPr>
          <w:rFonts w:ascii="Arial" w:hAnsi="Arial" w:cs="Arial"/>
        </w:rPr>
      </w:pPr>
      <w:r w:rsidRPr="006E014E">
        <w:rPr>
          <w:rFonts w:ascii="Arial" w:hAnsi="Arial" w:cs="Arial"/>
        </w:rPr>
        <w:t>Based on the Medicare Hospital Inpatient Prospective Payment System, all hospitals are paid the same standard rate for operating costs (based on the rate for hospitals located in large urban areas). The 20</w:t>
      </w:r>
      <w:r w:rsidR="000668E7">
        <w:rPr>
          <w:rFonts w:ascii="Arial" w:hAnsi="Arial" w:cs="Arial"/>
        </w:rPr>
        <w:t>2</w:t>
      </w:r>
      <w:r w:rsidR="00315EAA">
        <w:rPr>
          <w:rFonts w:ascii="Arial" w:hAnsi="Arial" w:cs="Arial"/>
        </w:rPr>
        <w:t>5</w:t>
      </w:r>
      <w:r w:rsidRPr="006E014E">
        <w:rPr>
          <w:rFonts w:ascii="Arial" w:hAnsi="Arial" w:cs="Arial"/>
        </w:rPr>
        <w:t xml:space="preserve"> rate was $</w:t>
      </w:r>
      <w:r w:rsidR="00DE438F">
        <w:rPr>
          <w:rFonts w:ascii="Arial" w:hAnsi="Arial" w:cs="Arial"/>
        </w:rPr>
        <w:t>8,195.79</w:t>
      </w:r>
      <w:r w:rsidRPr="006E014E">
        <w:rPr>
          <w:rFonts w:ascii="Arial" w:hAnsi="Arial" w:cs="Arial"/>
        </w:rPr>
        <w:t xml:space="preserve">. The estimated increase in the market basket is </w:t>
      </w:r>
      <w:r w:rsidR="004A10FB">
        <w:rPr>
          <w:rFonts w:ascii="Arial" w:hAnsi="Arial" w:cs="Arial"/>
        </w:rPr>
        <w:t>3.</w:t>
      </w:r>
      <w:r w:rsidR="00DE438F">
        <w:rPr>
          <w:rFonts w:ascii="Arial" w:hAnsi="Arial" w:cs="Arial"/>
        </w:rPr>
        <w:t>3</w:t>
      </w:r>
      <w:r w:rsidRPr="006E014E">
        <w:rPr>
          <w:rFonts w:ascii="Arial" w:hAnsi="Arial" w:cs="Arial"/>
        </w:rPr>
        <w:t xml:space="preserve">%. </w:t>
      </w:r>
      <w:r w:rsidR="004A10FB">
        <w:rPr>
          <w:rFonts w:ascii="Arial" w:hAnsi="Arial" w:cs="Arial"/>
        </w:rPr>
        <w:t>(FY 202</w:t>
      </w:r>
      <w:r w:rsidR="00DE438F">
        <w:rPr>
          <w:rFonts w:ascii="Arial" w:hAnsi="Arial" w:cs="Arial"/>
        </w:rPr>
        <w:t>6</w:t>
      </w:r>
      <w:r w:rsidR="004A10FB">
        <w:rPr>
          <w:rFonts w:ascii="Arial" w:hAnsi="Arial" w:cs="Arial"/>
        </w:rPr>
        <w:t xml:space="preserve"> Final Rule, </w:t>
      </w:r>
      <w:r w:rsidR="004C0734">
        <w:rPr>
          <w:rFonts w:ascii="Arial" w:hAnsi="Arial" w:cs="Arial"/>
        </w:rPr>
        <w:t>90</w:t>
      </w:r>
      <w:r w:rsidR="007167EC">
        <w:rPr>
          <w:rFonts w:ascii="Arial" w:hAnsi="Arial" w:cs="Arial"/>
        </w:rPr>
        <w:t xml:space="preserve"> Feder</w:t>
      </w:r>
      <w:r w:rsidR="004A10FB">
        <w:rPr>
          <w:rFonts w:ascii="Arial" w:hAnsi="Arial" w:cs="Arial"/>
        </w:rPr>
        <w:t xml:space="preserve">al Register </w:t>
      </w:r>
      <w:r w:rsidR="00C50BA0">
        <w:rPr>
          <w:rFonts w:ascii="Arial" w:hAnsi="Arial" w:cs="Arial"/>
        </w:rPr>
        <w:t>36</w:t>
      </w:r>
      <w:r w:rsidR="004C0CD1">
        <w:rPr>
          <w:rFonts w:ascii="Arial" w:hAnsi="Arial" w:cs="Arial"/>
        </w:rPr>
        <w:t>904</w:t>
      </w:r>
      <w:r w:rsidR="0087595C">
        <w:rPr>
          <w:rFonts w:ascii="Arial" w:hAnsi="Arial" w:cs="Arial"/>
        </w:rPr>
        <w:t>.)</w:t>
      </w:r>
      <w:r w:rsidR="00407221">
        <w:rPr>
          <w:rFonts w:ascii="Arial" w:hAnsi="Arial" w:cs="Arial"/>
        </w:rPr>
        <w:t xml:space="preserve"> </w:t>
      </w:r>
      <w:r w:rsidRPr="006E014E">
        <w:rPr>
          <w:rFonts w:ascii="Arial" w:hAnsi="Arial" w:cs="Arial"/>
        </w:rPr>
        <w:t>The 20</w:t>
      </w:r>
      <w:r w:rsidR="004A10FB">
        <w:rPr>
          <w:rFonts w:ascii="Arial" w:hAnsi="Arial" w:cs="Arial"/>
        </w:rPr>
        <w:t>2</w:t>
      </w:r>
      <w:r w:rsidR="00C50BA0">
        <w:rPr>
          <w:rFonts w:ascii="Arial" w:hAnsi="Arial" w:cs="Arial"/>
        </w:rPr>
        <w:t>6</w:t>
      </w:r>
      <w:r w:rsidRPr="006E014E">
        <w:rPr>
          <w:rFonts w:ascii="Arial" w:hAnsi="Arial" w:cs="Arial"/>
        </w:rPr>
        <w:t xml:space="preserve"> standard rate under the OMFS is $</w:t>
      </w:r>
      <w:r w:rsidR="00156E5C">
        <w:rPr>
          <w:rFonts w:ascii="Arial" w:hAnsi="Arial" w:cs="Arial"/>
        </w:rPr>
        <w:t>8,</w:t>
      </w:r>
      <w:r w:rsidR="00C50BA0">
        <w:rPr>
          <w:rFonts w:ascii="Arial" w:hAnsi="Arial" w:cs="Arial"/>
        </w:rPr>
        <w:t>466.25</w:t>
      </w:r>
      <w:r w:rsidRPr="006E014E">
        <w:rPr>
          <w:rFonts w:ascii="Arial" w:hAnsi="Arial" w:cs="Arial"/>
        </w:rPr>
        <w:t xml:space="preserve"> ($</w:t>
      </w:r>
      <w:r w:rsidR="00AE1E24">
        <w:rPr>
          <w:rFonts w:ascii="Arial" w:hAnsi="Arial" w:cs="Arial"/>
        </w:rPr>
        <w:t>8,195.79</w:t>
      </w:r>
      <w:r w:rsidR="00A852B0" w:rsidRPr="006E014E">
        <w:rPr>
          <w:rFonts w:ascii="Arial" w:hAnsi="Arial" w:cs="Arial"/>
        </w:rPr>
        <w:t xml:space="preserve"> </w:t>
      </w:r>
      <w:r w:rsidRPr="006E014E">
        <w:rPr>
          <w:rFonts w:ascii="Arial" w:hAnsi="Arial" w:cs="Arial"/>
        </w:rPr>
        <w:t>x 1.0</w:t>
      </w:r>
      <w:r w:rsidR="004A10FB">
        <w:rPr>
          <w:rFonts w:ascii="Arial" w:hAnsi="Arial" w:cs="Arial"/>
        </w:rPr>
        <w:t>3</w:t>
      </w:r>
      <w:r w:rsidR="00AE1E24">
        <w:rPr>
          <w:rFonts w:ascii="Arial" w:hAnsi="Arial" w:cs="Arial"/>
        </w:rPr>
        <w:t>3</w:t>
      </w:r>
      <w:r w:rsidRPr="006E014E">
        <w:rPr>
          <w:rFonts w:ascii="Arial" w:hAnsi="Arial" w:cs="Arial"/>
        </w:rPr>
        <w:t>).</w:t>
      </w:r>
    </w:p>
    <w:p w14:paraId="43CDAB21" w14:textId="7134D18C" w:rsidR="006E6345" w:rsidRPr="006E014E" w:rsidRDefault="006E6345" w:rsidP="006E6345">
      <w:pPr>
        <w:numPr>
          <w:ilvl w:val="2"/>
          <w:numId w:val="1"/>
        </w:numPr>
        <w:rPr>
          <w:rFonts w:ascii="Arial" w:hAnsi="Arial" w:cs="Arial"/>
        </w:rPr>
      </w:pPr>
      <w:r w:rsidRPr="006E014E">
        <w:rPr>
          <w:rFonts w:ascii="Arial" w:hAnsi="Arial" w:cs="Arial"/>
        </w:rPr>
        <w:lastRenderedPageBreak/>
        <w:t xml:space="preserve">The Medicare Hospital Inpatient Prospective Payment System provides that if a hospital’s wage index is less than or equal to 1.0, the labor-related share is .62 of the standard </w:t>
      </w:r>
      <w:proofErr w:type="gramStart"/>
      <w:r w:rsidRPr="006E014E">
        <w:rPr>
          <w:rFonts w:ascii="Arial" w:hAnsi="Arial" w:cs="Arial"/>
        </w:rPr>
        <w:t>rate</w:t>
      </w:r>
      <w:proofErr w:type="gramEnd"/>
      <w:r w:rsidRPr="006E014E">
        <w:rPr>
          <w:rFonts w:ascii="Arial" w:hAnsi="Arial" w:cs="Arial"/>
        </w:rPr>
        <w:t xml:space="preserve">. If the wage index is greater than 1.0, the labor-related </w:t>
      </w:r>
      <w:r w:rsidR="00EA7CBD">
        <w:rPr>
          <w:rFonts w:ascii="Arial" w:hAnsi="Arial" w:cs="Arial"/>
        </w:rPr>
        <w:t>share is .6</w:t>
      </w:r>
      <w:r w:rsidR="00A0174A">
        <w:rPr>
          <w:rFonts w:ascii="Arial" w:hAnsi="Arial" w:cs="Arial"/>
        </w:rPr>
        <w:t>6</w:t>
      </w:r>
      <w:r w:rsidRPr="006E014E">
        <w:rPr>
          <w:rFonts w:ascii="Arial" w:hAnsi="Arial" w:cs="Arial"/>
        </w:rPr>
        <w:t xml:space="preserve">. </w:t>
      </w:r>
      <w:r w:rsidR="004A10FB">
        <w:rPr>
          <w:rFonts w:ascii="Arial" w:hAnsi="Arial" w:cs="Arial"/>
        </w:rPr>
        <w:t>(FY 202</w:t>
      </w:r>
      <w:r w:rsidR="00803F2B">
        <w:rPr>
          <w:rFonts w:ascii="Arial" w:hAnsi="Arial" w:cs="Arial"/>
        </w:rPr>
        <w:t>6</w:t>
      </w:r>
      <w:r w:rsidR="004A10FB">
        <w:rPr>
          <w:rFonts w:ascii="Arial" w:hAnsi="Arial" w:cs="Arial"/>
        </w:rPr>
        <w:t xml:space="preserve"> Final Rule, </w:t>
      </w:r>
      <w:r w:rsidR="00803F2B">
        <w:rPr>
          <w:rFonts w:ascii="Arial" w:hAnsi="Arial" w:cs="Arial"/>
        </w:rPr>
        <w:t>90</w:t>
      </w:r>
      <w:r w:rsidR="007167EC">
        <w:rPr>
          <w:rFonts w:ascii="Arial" w:hAnsi="Arial" w:cs="Arial"/>
        </w:rPr>
        <w:t xml:space="preserve"> Federa</w:t>
      </w:r>
      <w:r w:rsidR="004A10FB">
        <w:rPr>
          <w:rFonts w:ascii="Arial" w:hAnsi="Arial" w:cs="Arial"/>
        </w:rPr>
        <w:t xml:space="preserve">l Register </w:t>
      </w:r>
      <w:r w:rsidR="004D37DB">
        <w:rPr>
          <w:rFonts w:ascii="Arial" w:hAnsi="Arial" w:cs="Arial"/>
        </w:rPr>
        <w:t>36858</w:t>
      </w:r>
      <w:r w:rsidR="007626B3">
        <w:rPr>
          <w:rFonts w:ascii="Arial" w:hAnsi="Arial" w:cs="Arial"/>
        </w:rPr>
        <w:t xml:space="preserve">.) </w:t>
      </w:r>
      <w:r w:rsidRPr="006E014E">
        <w:rPr>
          <w:rFonts w:ascii="Arial" w:hAnsi="Arial" w:cs="Arial"/>
        </w:rPr>
        <w:t>The wage-adjusted standard rate is determined as follows:</w:t>
      </w:r>
    </w:p>
    <w:p w14:paraId="442AE821" w14:textId="644E364A" w:rsidR="006E6345" w:rsidRPr="006E014E" w:rsidRDefault="006E6345" w:rsidP="006E6345">
      <w:pPr>
        <w:ind w:left="3240"/>
        <w:rPr>
          <w:rFonts w:ascii="Arial" w:hAnsi="Arial" w:cs="Arial"/>
        </w:rPr>
      </w:pPr>
      <w:r w:rsidRPr="006E014E">
        <w:rPr>
          <w:rFonts w:ascii="Arial" w:hAnsi="Arial" w:cs="Arial"/>
        </w:rPr>
        <w:t>a.</w:t>
      </w:r>
      <w:r w:rsidRPr="006E014E">
        <w:rPr>
          <w:rFonts w:ascii="Arial" w:hAnsi="Arial" w:cs="Arial"/>
        </w:rPr>
        <w:tab/>
      </w:r>
      <w:bookmarkStart w:id="0" w:name="OLE_LINK2"/>
      <w:bookmarkStart w:id="1" w:name="OLE_LINK3"/>
      <w:r w:rsidRPr="006E014E">
        <w:rPr>
          <w:rFonts w:ascii="Arial" w:hAnsi="Arial" w:cs="Arial"/>
        </w:rPr>
        <w:t xml:space="preserve">For discharges occurring on or after </w:t>
      </w:r>
      <w:r w:rsidR="00382ADB">
        <w:rPr>
          <w:rFonts w:ascii="Arial" w:hAnsi="Arial" w:cs="Arial"/>
        </w:rPr>
        <w:t>December</w:t>
      </w:r>
      <w:r w:rsidR="00EA7CBD">
        <w:rPr>
          <w:rFonts w:ascii="Arial" w:hAnsi="Arial" w:cs="Arial"/>
        </w:rPr>
        <w:t xml:space="preserve"> 1</w:t>
      </w:r>
      <w:r w:rsidR="00CE3F22">
        <w:rPr>
          <w:rFonts w:ascii="Arial" w:hAnsi="Arial" w:cs="Arial"/>
        </w:rPr>
        <w:t>, 202</w:t>
      </w:r>
      <w:r w:rsidR="006F018C">
        <w:rPr>
          <w:rFonts w:ascii="Arial" w:hAnsi="Arial" w:cs="Arial"/>
        </w:rPr>
        <w:t>5</w:t>
      </w:r>
      <w:r w:rsidRPr="006E014E">
        <w:rPr>
          <w:rFonts w:ascii="Arial" w:hAnsi="Arial" w:cs="Arial"/>
        </w:rPr>
        <w:t>, use FY 20</w:t>
      </w:r>
      <w:r w:rsidR="004A10FB">
        <w:rPr>
          <w:rFonts w:ascii="Arial" w:hAnsi="Arial" w:cs="Arial"/>
        </w:rPr>
        <w:t>2</w:t>
      </w:r>
      <w:r w:rsidR="006F018C">
        <w:rPr>
          <w:rFonts w:ascii="Arial" w:hAnsi="Arial" w:cs="Arial"/>
        </w:rPr>
        <w:t>6</w:t>
      </w:r>
      <w:r w:rsidRPr="006E014E">
        <w:rPr>
          <w:rFonts w:ascii="Arial" w:hAnsi="Arial" w:cs="Arial"/>
        </w:rPr>
        <w:t xml:space="preserve"> wage index, which can be found in the </w:t>
      </w:r>
      <w:bookmarkEnd w:id="0"/>
      <w:bookmarkEnd w:id="1"/>
      <w:r w:rsidR="00382ADB" w:rsidRPr="00B45B3A">
        <w:rPr>
          <w:rFonts w:ascii="Arial" w:hAnsi="Arial" w:cs="Arial"/>
        </w:rPr>
        <w:t>FY 202</w:t>
      </w:r>
      <w:r w:rsidR="006F018C">
        <w:rPr>
          <w:rFonts w:ascii="Arial" w:hAnsi="Arial" w:cs="Arial"/>
        </w:rPr>
        <w:t>6</w:t>
      </w:r>
      <w:r w:rsidR="00382ADB" w:rsidRPr="00B45B3A">
        <w:rPr>
          <w:rFonts w:ascii="Arial" w:hAnsi="Arial" w:cs="Arial"/>
        </w:rPr>
        <w:t xml:space="preserve"> Final Rule</w:t>
      </w:r>
      <w:r w:rsidR="00090BBF">
        <w:rPr>
          <w:rFonts w:ascii="Arial" w:hAnsi="Arial" w:cs="Arial"/>
        </w:rPr>
        <w:t xml:space="preserve"> </w:t>
      </w:r>
      <w:r w:rsidR="00B45B3A">
        <w:rPr>
          <w:rFonts w:ascii="Arial" w:hAnsi="Arial" w:cs="Arial"/>
        </w:rPr>
        <w:t>Impact File</w:t>
      </w:r>
      <w:r w:rsidR="00D67576">
        <w:rPr>
          <w:rFonts w:ascii="Arial" w:hAnsi="Arial" w:cs="Arial"/>
        </w:rPr>
        <w:t>.</w:t>
      </w:r>
    </w:p>
    <w:p w14:paraId="3D181D58" w14:textId="76C57DC3" w:rsidR="006E6345" w:rsidRPr="006E014E" w:rsidRDefault="006E6345" w:rsidP="006E6345">
      <w:pPr>
        <w:ind w:left="3240"/>
        <w:rPr>
          <w:rFonts w:ascii="Arial" w:hAnsi="Arial" w:cs="Arial"/>
        </w:rPr>
      </w:pPr>
      <w:r w:rsidRPr="006E014E">
        <w:rPr>
          <w:rFonts w:ascii="Arial" w:hAnsi="Arial" w:cs="Arial"/>
        </w:rPr>
        <w:t>b.</w:t>
      </w:r>
      <w:r w:rsidRPr="006E014E">
        <w:rPr>
          <w:rFonts w:ascii="Arial" w:hAnsi="Arial" w:cs="Arial"/>
        </w:rPr>
        <w:tab/>
        <w:t xml:space="preserve">If FY </w:t>
      </w:r>
      <w:r w:rsidR="001E7AFC" w:rsidRPr="006E014E">
        <w:rPr>
          <w:rFonts w:ascii="Arial" w:hAnsi="Arial" w:cs="Arial"/>
        </w:rPr>
        <w:t>20</w:t>
      </w:r>
      <w:r w:rsidR="004A10FB">
        <w:rPr>
          <w:rFonts w:ascii="Arial" w:hAnsi="Arial" w:cs="Arial"/>
        </w:rPr>
        <w:t>2</w:t>
      </w:r>
      <w:r w:rsidR="00464B4C">
        <w:rPr>
          <w:rFonts w:ascii="Arial" w:hAnsi="Arial" w:cs="Arial"/>
        </w:rPr>
        <w:t>6</w:t>
      </w:r>
      <w:r w:rsidR="001E7AFC">
        <w:rPr>
          <w:rFonts w:ascii="Arial" w:hAnsi="Arial" w:cs="Arial"/>
        </w:rPr>
        <w:t xml:space="preserve"> </w:t>
      </w:r>
      <w:r w:rsidRPr="006E014E">
        <w:rPr>
          <w:rFonts w:ascii="Arial" w:hAnsi="Arial" w:cs="Arial"/>
        </w:rPr>
        <w:t>wage index &gt;1.0, wage-adjusted rate = $</w:t>
      </w:r>
      <w:r w:rsidR="00D627C2">
        <w:rPr>
          <w:rFonts w:ascii="Arial" w:hAnsi="Arial" w:cs="Arial"/>
        </w:rPr>
        <w:t>8,</w:t>
      </w:r>
      <w:r w:rsidR="00806C27">
        <w:rPr>
          <w:rFonts w:ascii="Arial" w:hAnsi="Arial" w:cs="Arial"/>
        </w:rPr>
        <w:t>466.25</w:t>
      </w:r>
      <w:r w:rsidR="00EA7CBD">
        <w:rPr>
          <w:rFonts w:ascii="Arial" w:hAnsi="Arial" w:cs="Arial"/>
        </w:rPr>
        <w:t xml:space="preserve"> x (.6</w:t>
      </w:r>
      <w:r w:rsidR="00806C27">
        <w:rPr>
          <w:rFonts w:ascii="Arial" w:hAnsi="Arial" w:cs="Arial"/>
        </w:rPr>
        <w:t>6</w:t>
      </w:r>
      <w:r w:rsidRPr="006E014E">
        <w:rPr>
          <w:rFonts w:ascii="Arial" w:hAnsi="Arial" w:cs="Arial"/>
        </w:rPr>
        <w:t xml:space="preserve"> x FY 20</w:t>
      </w:r>
      <w:r w:rsidR="004A10FB">
        <w:rPr>
          <w:rFonts w:ascii="Arial" w:hAnsi="Arial" w:cs="Arial"/>
        </w:rPr>
        <w:t>2</w:t>
      </w:r>
      <w:r w:rsidR="00FE39F0">
        <w:rPr>
          <w:rFonts w:ascii="Arial" w:hAnsi="Arial" w:cs="Arial"/>
        </w:rPr>
        <w:t>6</w:t>
      </w:r>
      <w:r w:rsidRPr="006E014E">
        <w:rPr>
          <w:rFonts w:ascii="Arial" w:hAnsi="Arial" w:cs="Arial"/>
        </w:rPr>
        <w:t xml:space="preserve"> wage index + </w:t>
      </w:r>
      <w:r w:rsidR="00EA7CBD" w:rsidRPr="00CE3F22">
        <w:rPr>
          <w:rFonts w:ascii="Arial" w:hAnsi="Arial" w:cs="Arial"/>
        </w:rPr>
        <w:t>.34</w:t>
      </w:r>
      <w:r w:rsidR="00EA7CBD">
        <w:rPr>
          <w:rFonts w:ascii="Arial" w:hAnsi="Arial" w:cs="Arial"/>
        </w:rPr>
        <w:t>)</w:t>
      </w:r>
    </w:p>
    <w:p w14:paraId="612A8D43" w14:textId="50614C61" w:rsidR="006E6345" w:rsidRPr="006E014E" w:rsidRDefault="006E6345" w:rsidP="006E6345">
      <w:pPr>
        <w:ind w:left="3240"/>
        <w:rPr>
          <w:rFonts w:ascii="Arial" w:hAnsi="Arial" w:cs="Arial"/>
        </w:rPr>
      </w:pPr>
      <w:r w:rsidRPr="006E014E">
        <w:rPr>
          <w:rFonts w:ascii="Arial" w:hAnsi="Arial" w:cs="Arial"/>
        </w:rPr>
        <w:t>c.</w:t>
      </w:r>
      <w:r w:rsidRPr="006E014E">
        <w:rPr>
          <w:rFonts w:ascii="Arial" w:hAnsi="Arial" w:cs="Arial"/>
        </w:rPr>
        <w:tab/>
        <w:t>If</w:t>
      </w:r>
      <w:r w:rsidR="004A10FB">
        <w:rPr>
          <w:rFonts w:ascii="Arial" w:hAnsi="Arial" w:cs="Arial"/>
        </w:rPr>
        <w:t xml:space="preserve"> FY 202</w:t>
      </w:r>
      <w:r w:rsidR="002D54D5">
        <w:rPr>
          <w:rFonts w:ascii="Arial" w:hAnsi="Arial" w:cs="Arial"/>
        </w:rPr>
        <w:t>6</w:t>
      </w:r>
      <w:r w:rsidRPr="006E014E">
        <w:rPr>
          <w:rFonts w:ascii="Arial" w:hAnsi="Arial" w:cs="Arial"/>
        </w:rPr>
        <w:t xml:space="preserve"> wage index &lt;=1.0, wage-adjusted rate = </w:t>
      </w:r>
      <w:r w:rsidR="00D627C2">
        <w:rPr>
          <w:rFonts w:ascii="Arial" w:hAnsi="Arial" w:cs="Arial"/>
        </w:rPr>
        <w:t>$8,</w:t>
      </w:r>
      <w:r w:rsidR="00FE39F0">
        <w:rPr>
          <w:rFonts w:ascii="Arial" w:hAnsi="Arial" w:cs="Arial"/>
        </w:rPr>
        <w:t>466.25</w:t>
      </w:r>
      <w:r w:rsidR="00EA7CBD">
        <w:rPr>
          <w:rFonts w:ascii="Arial" w:hAnsi="Arial" w:cs="Arial"/>
        </w:rPr>
        <w:t xml:space="preserve"> </w:t>
      </w:r>
      <w:r w:rsidRPr="006E014E">
        <w:rPr>
          <w:rFonts w:ascii="Arial" w:hAnsi="Arial" w:cs="Arial"/>
        </w:rPr>
        <w:t>x (.62 x FY 20</w:t>
      </w:r>
      <w:r w:rsidR="004A10FB">
        <w:rPr>
          <w:rFonts w:ascii="Arial" w:hAnsi="Arial" w:cs="Arial"/>
        </w:rPr>
        <w:t>2</w:t>
      </w:r>
      <w:r w:rsidR="00FE39F0">
        <w:rPr>
          <w:rFonts w:ascii="Arial" w:hAnsi="Arial" w:cs="Arial"/>
        </w:rPr>
        <w:t>6</w:t>
      </w:r>
      <w:r w:rsidRPr="006E014E">
        <w:rPr>
          <w:rFonts w:ascii="Arial" w:hAnsi="Arial" w:cs="Arial"/>
        </w:rPr>
        <w:t xml:space="preserve"> wage index + </w:t>
      </w:r>
      <w:r w:rsidRPr="00EA7CBD">
        <w:rPr>
          <w:rFonts w:ascii="Arial" w:hAnsi="Arial" w:cs="Arial"/>
        </w:rPr>
        <w:t>.</w:t>
      </w:r>
      <w:r w:rsidRPr="00CE3F22">
        <w:rPr>
          <w:rFonts w:ascii="Arial" w:hAnsi="Arial" w:cs="Arial"/>
        </w:rPr>
        <w:t>38</w:t>
      </w:r>
      <w:r w:rsidRPr="00EA7CBD">
        <w:rPr>
          <w:rFonts w:ascii="Arial" w:hAnsi="Arial" w:cs="Arial"/>
        </w:rPr>
        <w:t>)</w:t>
      </w:r>
    </w:p>
    <w:p w14:paraId="387A2A71" w14:textId="3F67A9A5" w:rsidR="006E6345" w:rsidRPr="006E014E" w:rsidRDefault="006E6345" w:rsidP="006E6345">
      <w:pPr>
        <w:numPr>
          <w:ilvl w:val="2"/>
          <w:numId w:val="1"/>
        </w:numPr>
        <w:rPr>
          <w:rFonts w:ascii="Arial" w:hAnsi="Arial" w:cs="Arial"/>
        </w:rPr>
      </w:pPr>
      <w:r w:rsidRPr="006E014E">
        <w:rPr>
          <w:rFonts w:ascii="Arial" w:hAnsi="Arial" w:cs="Arial"/>
        </w:rPr>
        <w:t>The wage-adjusted operating rate is further adjusted for any additional payments for teaching and serving a disproportionat</w:t>
      </w:r>
      <w:r w:rsidR="002D4E28">
        <w:rPr>
          <w:rFonts w:ascii="Arial" w:hAnsi="Arial" w:cs="Arial"/>
        </w:rPr>
        <w:t>e share of low-income patients.</w:t>
      </w:r>
    </w:p>
    <w:p w14:paraId="41BB087E" w14:textId="0FE0A2D2" w:rsidR="006E6345" w:rsidRPr="006E014E" w:rsidRDefault="006E6345" w:rsidP="006E6345">
      <w:pPr>
        <w:numPr>
          <w:ilvl w:val="3"/>
          <w:numId w:val="1"/>
        </w:numPr>
        <w:rPr>
          <w:rFonts w:ascii="Arial" w:hAnsi="Arial" w:cs="Arial"/>
        </w:rPr>
      </w:pPr>
      <w:r w:rsidRPr="006E014E">
        <w:rPr>
          <w:rFonts w:ascii="Arial" w:hAnsi="Arial" w:cs="Arial"/>
        </w:rPr>
        <w:t xml:space="preserve">OMFS operating DSH adjustment factor equals the sum of a) the Medicare DSH operating adjustment and </w:t>
      </w:r>
      <w:r w:rsidR="005E1218">
        <w:rPr>
          <w:rFonts w:ascii="Arial" w:hAnsi="Arial" w:cs="Arial"/>
        </w:rPr>
        <w:t>b) 3 x</w:t>
      </w:r>
      <w:r w:rsidRPr="006E014E">
        <w:rPr>
          <w:rFonts w:ascii="Arial" w:hAnsi="Arial" w:cs="Arial"/>
        </w:rPr>
        <w:t xml:space="preserve"> the Med</w:t>
      </w:r>
      <w:r w:rsidR="005E1218">
        <w:rPr>
          <w:rFonts w:ascii="Arial" w:hAnsi="Arial" w:cs="Arial"/>
        </w:rPr>
        <w:t>icare DSH operating adjustment x</w:t>
      </w:r>
      <w:r w:rsidRPr="006E014E">
        <w:rPr>
          <w:rFonts w:ascii="Arial" w:hAnsi="Arial" w:cs="Arial"/>
        </w:rPr>
        <w:t xml:space="preserve"> the Uncompensated Care adjustment</w:t>
      </w:r>
      <w:r w:rsidR="006B72BF">
        <w:rPr>
          <w:rFonts w:ascii="Arial" w:hAnsi="Arial" w:cs="Arial"/>
        </w:rPr>
        <w:t>.</w:t>
      </w:r>
    </w:p>
    <w:p w14:paraId="3F41A2A4" w14:textId="26EA098A" w:rsidR="006E6345" w:rsidRPr="006E014E" w:rsidRDefault="006E6345" w:rsidP="00B234A8">
      <w:pPr>
        <w:numPr>
          <w:ilvl w:val="3"/>
          <w:numId w:val="1"/>
        </w:numPr>
        <w:spacing w:after="240"/>
        <w:rPr>
          <w:rFonts w:ascii="Arial" w:hAnsi="Arial" w:cs="Arial"/>
        </w:rPr>
      </w:pPr>
      <w:r w:rsidRPr="006E014E">
        <w:rPr>
          <w:rFonts w:ascii="Arial" w:hAnsi="Arial" w:cs="Arial"/>
        </w:rPr>
        <w:t>Adjusted operating rate = wage-adjusted stand</w:t>
      </w:r>
      <w:r w:rsidR="005E1218">
        <w:rPr>
          <w:rFonts w:ascii="Arial" w:hAnsi="Arial" w:cs="Arial"/>
        </w:rPr>
        <w:t xml:space="preserve">ard rate x (1 + TCHOP + DSHOPP x 4 x </w:t>
      </w:r>
      <w:r w:rsidRPr="006E014E">
        <w:rPr>
          <w:rFonts w:ascii="Arial" w:hAnsi="Arial" w:cs="Arial"/>
        </w:rPr>
        <w:t>DSH adjustment factor). The DSH adjustment factor for 20</w:t>
      </w:r>
      <w:r w:rsidR="00CE3F22">
        <w:rPr>
          <w:rFonts w:ascii="Arial" w:hAnsi="Arial" w:cs="Arial"/>
        </w:rPr>
        <w:t>2</w:t>
      </w:r>
      <w:r w:rsidR="00D627C2">
        <w:rPr>
          <w:rFonts w:ascii="Arial" w:hAnsi="Arial" w:cs="Arial"/>
        </w:rPr>
        <w:t>5</w:t>
      </w:r>
      <w:r w:rsidRPr="006E014E">
        <w:rPr>
          <w:rFonts w:ascii="Arial" w:hAnsi="Arial" w:cs="Arial"/>
        </w:rPr>
        <w:t xml:space="preserve"> is </w:t>
      </w:r>
      <w:r w:rsidR="00F954B6">
        <w:rPr>
          <w:rFonts w:ascii="Arial" w:hAnsi="Arial" w:cs="Arial"/>
        </w:rPr>
        <w:t>0.</w:t>
      </w:r>
      <w:r w:rsidR="00EC2893">
        <w:rPr>
          <w:rFonts w:ascii="Arial" w:hAnsi="Arial" w:cs="Arial"/>
        </w:rPr>
        <w:t>71605</w:t>
      </w:r>
      <w:r w:rsidR="005E1218">
        <w:rPr>
          <w:rFonts w:ascii="Arial" w:hAnsi="Arial" w:cs="Arial"/>
        </w:rPr>
        <w:t xml:space="preserve"> (75% x </w:t>
      </w:r>
      <w:r w:rsidRPr="006E014E">
        <w:rPr>
          <w:rFonts w:ascii="Arial" w:hAnsi="Arial" w:cs="Arial"/>
        </w:rPr>
        <w:t>Medicare DSH factor</w:t>
      </w:r>
      <w:r w:rsidR="00CE3F22">
        <w:rPr>
          <w:rFonts w:ascii="Arial" w:hAnsi="Arial" w:cs="Arial"/>
        </w:rPr>
        <w:t xml:space="preserve"> 2 which is </w:t>
      </w:r>
      <w:r w:rsidR="00EC2893">
        <w:rPr>
          <w:rFonts w:ascii="Arial" w:hAnsi="Arial" w:cs="Arial"/>
        </w:rPr>
        <w:t>62.14</w:t>
      </w:r>
      <w:r w:rsidRPr="006E014E">
        <w:rPr>
          <w:rFonts w:ascii="Arial" w:hAnsi="Arial" w:cs="Arial"/>
        </w:rPr>
        <w:t>% +25)/100.</w:t>
      </w:r>
      <w:r w:rsidR="008B1410">
        <w:rPr>
          <w:rFonts w:ascii="Arial" w:hAnsi="Arial" w:cs="Arial"/>
        </w:rPr>
        <w:t xml:space="preserve"> (DSH Factor 2 </w:t>
      </w:r>
      <w:r w:rsidR="00D20EE6">
        <w:rPr>
          <w:rFonts w:ascii="Arial" w:hAnsi="Arial" w:cs="Arial"/>
        </w:rPr>
        <w:t xml:space="preserve">- </w:t>
      </w:r>
      <w:r w:rsidR="00F954B6">
        <w:rPr>
          <w:rFonts w:ascii="Arial" w:hAnsi="Arial" w:cs="Arial"/>
        </w:rPr>
        <w:t>FY 202</w:t>
      </w:r>
      <w:r w:rsidR="005D732E">
        <w:rPr>
          <w:rFonts w:ascii="Arial" w:hAnsi="Arial" w:cs="Arial"/>
        </w:rPr>
        <w:t>5</w:t>
      </w:r>
      <w:r w:rsidR="007167EC">
        <w:rPr>
          <w:rFonts w:ascii="Arial" w:hAnsi="Arial" w:cs="Arial"/>
        </w:rPr>
        <w:t xml:space="preserve"> </w:t>
      </w:r>
      <w:r w:rsidR="00F954B6">
        <w:rPr>
          <w:rFonts w:ascii="Arial" w:hAnsi="Arial" w:cs="Arial"/>
        </w:rPr>
        <w:t xml:space="preserve">Final Rule, </w:t>
      </w:r>
      <w:r w:rsidR="00EC2893">
        <w:rPr>
          <w:rFonts w:ascii="Arial" w:hAnsi="Arial" w:cs="Arial"/>
        </w:rPr>
        <w:t>90</w:t>
      </w:r>
      <w:r w:rsidR="007167EC">
        <w:rPr>
          <w:rFonts w:ascii="Arial" w:hAnsi="Arial" w:cs="Arial"/>
        </w:rPr>
        <w:t xml:space="preserve"> Federal Register </w:t>
      </w:r>
      <w:r w:rsidR="00EC2893">
        <w:rPr>
          <w:rFonts w:ascii="Arial" w:hAnsi="Arial" w:cs="Arial"/>
        </w:rPr>
        <w:t>36889</w:t>
      </w:r>
      <w:r w:rsidR="008B1410">
        <w:rPr>
          <w:rFonts w:ascii="Arial" w:hAnsi="Arial" w:cs="Arial"/>
        </w:rPr>
        <w:t>.)</w:t>
      </w:r>
    </w:p>
    <w:p w14:paraId="7FB88B90" w14:textId="77777777" w:rsidR="006E6345" w:rsidRPr="00515DCE" w:rsidRDefault="006E6345" w:rsidP="006E6345">
      <w:pPr>
        <w:numPr>
          <w:ilvl w:val="1"/>
          <w:numId w:val="1"/>
        </w:numPr>
        <w:rPr>
          <w:rFonts w:ascii="Arial" w:hAnsi="Arial" w:cs="Arial"/>
        </w:rPr>
      </w:pPr>
      <w:r w:rsidRPr="00515DCE">
        <w:rPr>
          <w:rFonts w:ascii="Arial" w:hAnsi="Arial" w:cs="Arial"/>
        </w:rPr>
        <w:t>OMFS rate for capital-related costs</w:t>
      </w:r>
    </w:p>
    <w:p w14:paraId="65CF0307" w14:textId="67D00FD8" w:rsidR="006E6345" w:rsidRPr="00515DCE" w:rsidRDefault="006E6345" w:rsidP="006E6345">
      <w:pPr>
        <w:numPr>
          <w:ilvl w:val="2"/>
          <w:numId w:val="1"/>
        </w:numPr>
        <w:rPr>
          <w:rFonts w:ascii="Arial" w:hAnsi="Arial" w:cs="Arial"/>
        </w:rPr>
      </w:pPr>
      <w:r w:rsidRPr="00515DCE">
        <w:rPr>
          <w:rFonts w:ascii="Arial" w:hAnsi="Arial" w:cs="Arial"/>
        </w:rPr>
        <w:t xml:space="preserve">The estimated increase in </w:t>
      </w:r>
      <w:r w:rsidR="00850FEF" w:rsidRPr="00515DCE">
        <w:rPr>
          <w:rFonts w:ascii="Arial" w:hAnsi="Arial" w:cs="Arial"/>
        </w:rPr>
        <w:t xml:space="preserve">the capital market basket is </w:t>
      </w:r>
      <w:r w:rsidR="00085C56">
        <w:rPr>
          <w:rFonts w:ascii="Arial" w:hAnsi="Arial" w:cs="Arial"/>
        </w:rPr>
        <w:t>2.</w:t>
      </w:r>
      <w:r w:rsidR="00373E9C">
        <w:rPr>
          <w:rFonts w:ascii="Arial" w:hAnsi="Arial" w:cs="Arial"/>
        </w:rPr>
        <w:t>8</w:t>
      </w:r>
      <w:r w:rsidRPr="00515DCE">
        <w:rPr>
          <w:rFonts w:ascii="Arial" w:hAnsi="Arial" w:cs="Arial"/>
        </w:rPr>
        <w:t xml:space="preserve">%. </w:t>
      </w:r>
      <w:r w:rsidR="002D4E28" w:rsidRPr="00515DCE">
        <w:rPr>
          <w:rFonts w:ascii="Arial" w:hAnsi="Arial" w:cs="Arial"/>
        </w:rPr>
        <w:t>(</w:t>
      </w:r>
      <w:r w:rsidR="00373E9C">
        <w:rPr>
          <w:rFonts w:ascii="Arial" w:hAnsi="Arial" w:cs="Arial"/>
        </w:rPr>
        <w:t>90</w:t>
      </w:r>
      <w:r w:rsidR="007167EC" w:rsidRPr="00515DCE">
        <w:rPr>
          <w:rFonts w:ascii="Arial" w:hAnsi="Arial" w:cs="Arial"/>
        </w:rPr>
        <w:t xml:space="preserve"> Federal Register </w:t>
      </w:r>
      <w:r w:rsidR="00373E9C">
        <w:rPr>
          <w:rFonts w:ascii="Arial" w:hAnsi="Arial" w:cs="Arial"/>
        </w:rPr>
        <w:t>37235</w:t>
      </w:r>
      <w:r w:rsidR="00277B64">
        <w:rPr>
          <w:rFonts w:ascii="Arial" w:hAnsi="Arial" w:cs="Arial"/>
        </w:rPr>
        <w:t>).</w:t>
      </w:r>
      <w:r w:rsidR="002D4E28" w:rsidRPr="00515DCE">
        <w:rPr>
          <w:rFonts w:ascii="Arial" w:hAnsi="Arial" w:cs="Arial"/>
        </w:rPr>
        <w:br/>
      </w:r>
      <w:r w:rsidRPr="00515DCE">
        <w:rPr>
          <w:rFonts w:ascii="Arial" w:hAnsi="Arial" w:cs="Arial"/>
        </w:rPr>
        <w:t>The 20</w:t>
      </w:r>
      <w:r w:rsidR="00F954B6" w:rsidRPr="00515DCE">
        <w:rPr>
          <w:rFonts w:ascii="Arial" w:hAnsi="Arial" w:cs="Arial"/>
        </w:rPr>
        <w:t>2</w:t>
      </w:r>
      <w:r w:rsidR="00373E9C">
        <w:rPr>
          <w:rFonts w:ascii="Arial" w:hAnsi="Arial" w:cs="Arial"/>
        </w:rPr>
        <w:t>6</w:t>
      </w:r>
      <w:r w:rsidRPr="00515DCE">
        <w:rPr>
          <w:rFonts w:ascii="Arial" w:hAnsi="Arial" w:cs="Arial"/>
        </w:rPr>
        <w:t xml:space="preserve"> capital standard federal payment rate is $</w:t>
      </w:r>
      <w:r w:rsidR="00EF5BA3">
        <w:rPr>
          <w:rFonts w:ascii="Arial" w:hAnsi="Arial" w:cs="Arial"/>
        </w:rPr>
        <w:t>5</w:t>
      </w:r>
      <w:r w:rsidR="00373E9C">
        <w:rPr>
          <w:rFonts w:ascii="Arial" w:hAnsi="Arial" w:cs="Arial"/>
        </w:rPr>
        <w:t>72.85</w:t>
      </w:r>
      <w:r w:rsidRPr="00515DCE">
        <w:rPr>
          <w:rFonts w:ascii="Arial" w:hAnsi="Arial" w:cs="Arial"/>
        </w:rPr>
        <w:t xml:space="preserve"> ($</w:t>
      </w:r>
      <w:r w:rsidR="00F954B6" w:rsidRPr="00515DCE">
        <w:rPr>
          <w:rFonts w:ascii="Arial" w:hAnsi="Arial" w:cs="Arial"/>
        </w:rPr>
        <w:t>5</w:t>
      </w:r>
      <w:r w:rsidR="00B035EB">
        <w:rPr>
          <w:rFonts w:ascii="Arial" w:hAnsi="Arial" w:cs="Arial"/>
        </w:rPr>
        <w:t>57.25</w:t>
      </w:r>
      <w:r w:rsidR="00EF5BA3">
        <w:rPr>
          <w:rFonts w:ascii="Arial" w:hAnsi="Arial" w:cs="Arial"/>
        </w:rPr>
        <w:t xml:space="preserve"> x 1.02</w:t>
      </w:r>
      <w:r w:rsidR="00B035EB">
        <w:rPr>
          <w:rFonts w:ascii="Arial" w:hAnsi="Arial" w:cs="Arial"/>
        </w:rPr>
        <w:t>8</w:t>
      </w:r>
      <w:r w:rsidRPr="00515DCE">
        <w:rPr>
          <w:rFonts w:ascii="Arial" w:hAnsi="Arial" w:cs="Arial"/>
        </w:rPr>
        <w:t xml:space="preserve">). </w:t>
      </w:r>
    </w:p>
    <w:p w14:paraId="51B41D27" w14:textId="77777777" w:rsidR="006E6345" w:rsidRPr="00515DCE" w:rsidRDefault="006E6345" w:rsidP="006E6345">
      <w:pPr>
        <w:numPr>
          <w:ilvl w:val="2"/>
          <w:numId w:val="1"/>
        </w:numPr>
        <w:rPr>
          <w:rFonts w:ascii="Arial" w:hAnsi="Arial" w:cs="Arial"/>
        </w:rPr>
      </w:pPr>
      <w:r w:rsidRPr="00515DCE">
        <w:rPr>
          <w:rFonts w:ascii="Arial" w:hAnsi="Arial" w:cs="Arial"/>
        </w:rPr>
        <w:t>The capital standard federal payment rate is adjusted for the capital geographic adjustment factor, teaching, and for serving low-income patients.</w:t>
      </w:r>
    </w:p>
    <w:p w14:paraId="05CF3371" w14:textId="23166BD1" w:rsidR="006E6345" w:rsidRPr="00515DCE" w:rsidRDefault="006E6345" w:rsidP="006E6345">
      <w:pPr>
        <w:numPr>
          <w:ilvl w:val="2"/>
          <w:numId w:val="1"/>
        </w:numPr>
        <w:rPr>
          <w:rFonts w:ascii="Arial" w:hAnsi="Arial" w:cs="Arial"/>
        </w:rPr>
      </w:pPr>
      <w:r w:rsidRPr="00515DCE">
        <w:rPr>
          <w:rFonts w:ascii="Arial" w:hAnsi="Arial" w:cs="Arial"/>
        </w:rPr>
        <w:t>For discharges occurr</w:t>
      </w:r>
      <w:r w:rsidR="00850FEF" w:rsidRPr="00515DCE">
        <w:rPr>
          <w:rFonts w:ascii="Arial" w:hAnsi="Arial" w:cs="Arial"/>
        </w:rPr>
        <w:t xml:space="preserve">ing on or after </w:t>
      </w:r>
      <w:r w:rsidR="00DB20E9">
        <w:rPr>
          <w:rFonts w:ascii="Arial" w:hAnsi="Arial" w:cs="Arial"/>
        </w:rPr>
        <w:t>December</w:t>
      </w:r>
      <w:r w:rsidR="008D3B44" w:rsidRPr="00515DCE">
        <w:rPr>
          <w:rFonts w:ascii="Arial" w:hAnsi="Arial" w:cs="Arial"/>
        </w:rPr>
        <w:t xml:space="preserve"> 1</w:t>
      </w:r>
      <w:r w:rsidR="00DB20E9">
        <w:rPr>
          <w:rFonts w:ascii="Arial" w:hAnsi="Arial" w:cs="Arial"/>
        </w:rPr>
        <w:t>,</w:t>
      </w:r>
      <w:r w:rsidR="008D3B44" w:rsidRPr="00515DCE">
        <w:rPr>
          <w:rFonts w:ascii="Arial" w:hAnsi="Arial" w:cs="Arial"/>
        </w:rPr>
        <w:t xml:space="preserve"> 202</w:t>
      </w:r>
      <w:r w:rsidR="00FA540E">
        <w:rPr>
          <w:rFonts w:ascii="Arial" w:hAnsi="Arial" w:cs="Arial"/>
        </w:rPr>
        <w:t>5</w:t>
      </w:r>
      <w:r w:rsidR="007167EC" w:rsidRPr="00515DCE">
        <w:rPr>
          <w:rFonts w:ascii="Arial" w:hAnsi="Arial" w:cs="Arial"/>
        </w:rPr>
        <w:t>, use FY 202</w:t>
      </w:r>
      <w:r w:rsidR="00FA540E">
        <w:rPr>
          <w:rFonts w:ascii="Arial" w:hAnsi="Arial" w:cs="Arial"/>
        </w:rPr>
        <w:t>6</w:t>
      </w:r>
      <w:r w:rsidR="001403EA" w:rsidRPr="00515DCE">
        <w:rPr>
          <w:rFonts w:ascii="Arial" w:hAnsi="Arial" w:cs="Arial"/>
        </w:rPr>
        <w:t xml:space="preserve"> GAF, which can be found in the</w:t>
      </w:r>
      <w:r w:rsidR="00DB20E9">
        <w:rPr>
          <w:rFonts w:ascii="Arial" w:hAnsi="Arial" w:cs="Arial"/>
        </w:rPr>
        <w:t xml:space="preserve"> </w:t>
      </w:r>
      <w:r w:rsidR="00DB20E9" w:rsidRPr="00692319">
        <w:rPr>
          <w:rFonts w:ascii="Arial" w:hAnsi="Arial" w:cs="Arial"/>
        </w:rPr>
        <w:t>FY 202</w:t>
      </w:r>
      <w:r w:rsidR="00FA540E">
        <w:rPr>
          <w:rFonts w:ascii="Arial" w:hAnsi="Arial" w:cs="Arial"/>
        </w:rPr>
        <w:t>6</w:t>
      </w:r>
      <w:r w:rsidR="00DB20E9" w:rsidRPr="00692319">
        <w:rPr>
          <w:rFonts w:ascii="Arial" w:hAnsi="Arial" w:cs="Arial"/>
        </w:rPr>
        <w:t xml:space="preserve"> Final Rule</w:t>
      </w:r>
      <w:r w:rsidR="00FA540E">
        <w:rPr>
          <w:rFonts w:ascii="Arial" w:hAnsi="Arial" w:cs="Arial"/>
        </w:rPr>
        <w:t xml:space="preserve"> </w:t>
      </w:r>
      <w:r w:rsidR="00DB20E9">
        <w:rPr>
          <w:rFonts w:ascii="Arial" w:hAnsi="Arial" w:cs="Arial"/>
        </w:rPr>
        <w:t>Impact File:</w:t>
      </w:r>
    </w:p>
    <w:p w14:paraId="78F53A75" w14:textId="3146EE0B" w:rsidR="006E6345" w:rsidRPr="00515DCE" w:rsidRDefault="006E6345" w:rsidP="004E28D4">
      <w:pPr>
        <w:numPr>
          <w:ilvl w:val="3"/>
          <w:numId w:val="1"/>
        </w:numPr>
        <w:spacing w:after="240"/>
        <w:rPr>
          <w:rFonts w:ascii="Arial" w:hAnsi="Arial" w:cs="Arial"/>
        </w:rPr>
      </w:pPr>
      <w:r w:rsidRPr="00515DCE">
        <w:rPr>
          <w:rFonts w:ascii="Arial" w:hAnsi="Arial" w:cs="Arial"/>
        </w:rPr>
        <w:t xml:space="preserve"> Adjusted capital standard federal payment rate = </w:t>
      </w:r>
      <w:r w:rsidR="00850FEF" w:rsidRPr="00515DCE">
        <w:rPr>
          <w:rFonts w:ascii="Arial" w:hAnsi="Arial" w:cs="Arial"/>
        </w:rPr>
        <w:t>$</w:t>
      </w:r>
      <w:r w:rsidR="00EF5BA3">
        <w:rPr>
          <w:rFonts w:ascii="Arial" w:hAnsi="Arial" w:cs="Arial"/>
        </w:rPr>
        <w:t>5</w:t>
      </w:r>
      <w:r w:rsidR="00604CB0">
        <w:rPr>
          <w:rFonts w:ascii="Arial" w:hAnsi="Arial" w:cs="Arial"/>
        </w:rPr>
        <w:t>72.85</w:t>
      </w:r>
      <w:r w:rsidR="00AB5F78" w:rsidRPr="00515DCE">
        <w:rPr>
          <w:rFonts w:ascii="Arial" w:hAnsi="Arial" w:cs="Arial"/>
        </w:rPr>
        <w:t xml:space="preserve"> </w:t>
      </w:r>
      <w:r w:rsidRPr="00515DCE">
        <w:rPr>
          <w:rFonts w:ascii="Arial" w:hAnsi="Arial" w:cs="Arial"/>
        </w:rPr>
        <w:t>x FY 202</w:t>
      </w:r>
      <w:r w:rsidR="00604CB0">
        <w:rPr>
          <w:rFonts w:ascii="Arial" w:hAnsi="Arial" w:cs="Arial"/>
        </w:rPr>
        <w:t>6</w:t>
      </w:r>
      <w:r w:rsidRPr="00515DCE">
        <w:rPr>
          <w:rFonts w:ascii="Arial" w:hAnsi="Arial" w:cs="Arial"/>
        </w:rPr>
        <w:t xml:space="preserve"> GAF x (1+ DSHCPP + TCHCP).</w:t>
      </w:r>
    </w:p>
    <w:p w14:paraId="46DD4E29" w14:textId="51AEDAC4" w:rsidR="001B3B6C" w:rsidRPr="007504DF" w:rsidRDefault="006E6345" w:rsidP="001B3B6C">
      <w:pPr>
        <w:numPr>
          <w:ilvl w:val="1"/>
          <w:numId w:val="1"/>
        </w:numPr>
        <w:spacing w:after="240"/>
        <w:rPr>
          <w:rFonts w:ascii="Arial" w:hAnsi="Arial" w:cs="Arial"/>
        </w:rPr>
      </w:pPr>
      <w:r w:rsidRPr="009652D2">
        <w:rPr>
          <w:rFonts w:ascii="Arial" w:hAnsi="Arial" w:cs="Arial"/>
        </w:rPr>
        <w:t>The standard composite rate is the sum of the OMFS rate for operating costs and the OMFS rate for capital-related costs.</w:t>
      </w:r>
      <w:r w:rsidR="00604CB0">
        <w:rPr>
          <w:rFonts w:ascii="Arial" w:hAnsi="Arial" w:cs="Arial"/>
        </w:rPr>
        <w:t xml:space="preserve"> </w:t>
      </w:r>
    </w:p>
    <w:p w14:paraId="7A91882C" w14:textId="108C4DCC" w:rsidR="006E6345" w:rsidRPr="007504DF" w:rsidRDefault="000F3E57" w:rsidP="004E28D4">
      <w:pPr>
        <w:numPr>
          <w:ilvl w:val="1"/>
          <w:numId w:val="1"/>
        </w:numPr>
        <w:spacing w:after="240"/>
        <w:rPr>
          <w:rFonts w:ascii="Arial" w:hAnsi="Arial" w:cs="Arial"/>
        </w:rPr>
      </w:pPr>
      <w:r>
        <w:rPr>
          <w:rFonts w:ascii="Arial" w:hAnsi="Arial" w:cs="Arial"/>
        </w:rPr>
        <w:lastRenderedPageBreak/>
        <w:t xml:space="preserve">Sole </w:t>
      </w:r>
      <w:r w:rsidR="006E6345" w:rsidRPr="007504DF">
        <w:rPr>
          <w:rFonts w:ascii="Arial" w:hAnsi="Arial" w:cs="Arial"/>
        </w:rPr>
        <w:t>community hospitals (PTYPE = 16 or 17) receive the higher of the standard composite rate or a composite rate based on a hospital-specific rate for operating costs plus the OMFS rate for capital-related costs. When the hospital-specific composit</w:t>
      </w:r>
      <w:r w:rsidR="00C34C05" w:rsidRPr="007504DF">
        <w:rPr>
          <w:rFonts w:ascii="Arial" w:hAnsi="Arial" w:cs="Arial"/>
        </w:rPr>
        <w:t xml:space="preserve">e rate (FY </w:t>
      </w:r>
      <w:r w:rsidR="00C35B2E">
        <w:rPr>
          <w:rFonts w:ascii="Arial" w:hAnsi="Arial" w:cs="Arial"/>
        </w:rPr>
        <w:t>2</w:t>
      </w:r>
      <w:r>
        <w:rPr>
          <w:rFonts w:ascii="Arial" w:hAnsi="Arial" w:cs="Arial"/>
        </w:rPr>
        <w:t>6</w:t>
      </w:r>
      <w:r w:rsidR="006E6345" w:rsidRPr="007504DF">
        <w:rPr>
          <w:rFonts w:ascii="Arial" w:hAnsi="Arial" w:cs="Arial"/>
        </w:rPr>
        <w:t xml:space="preserve"> HSP Rate) is higher than the standard composite rate, the amount</w:t>
      </w:r>
      <w:r w:rsidR="007504DF" w:rsidRPr="007504DF">
        <w:rPr>
          <w:rFonts w:ascii="Arial" w:hAnsi="Arial" w:cs="Arial"/>
        </w:rPr>
        <w:t xml:space="preserve"> is shown in italic</w:t>
      </w:r>
      <w:r w:rsidR="00C35B2E">
        <w:rPr>
          <w:rFonts w:ascii="Arial" w:hAnsi="Arial" w:cs="Arial"/>
        </w:rPr>
        <w:t>s.  The FY 2</w:t>
      </w:r>
      <w:r>
        <w:rPr>
          <w:rFonts w:ascii="Arial" w:hAnsi="Arial" w:cs="Arial"/>
        </w:rPr>
        <w:t>6</w:t>
      </w:r>
      <w:r w:rsidR="006E6345" w:rsidRPr="007504DF">
        <w:rPr>
          <w:rFonts w:ascii="Arial" w:hAnsi="Arial" w:cs="Arial"/>
        </w:rPr>
        <w:t xml:space="preserve"> HSP Rate is the FY 1982/1987/1996/2006 Hospital Specific Payment (HSP) Rate updated to FY 20</w:t>
      </w:r>
      <w:r w:rsidR="00C35B2E">
        <w:rPr>
          <w:rFonts w:ascii="Arial" w:hAnsi="Arial" w:cs="Arial"/>
        </w:rPr>
        <w:t>2</w:t>
      </w:r>
      <w:r>
        <w:rPr>
          <w:rFonts w:ascii="Arial" w:hAnsi="Arial" w:cs="Arial"/>
        </w:rPr>
        <w:t>6</w:t>
      </w:r>
      <w:r w:rsidR="006E6345" w:rsidRPr="007504DF">
        <w:rPr>
          <w:rFonts w:ascii="Arial" w:hAnsi="Arial" w:cs="Arial"/>
        </w:rPr>
        <w:t xml:space="preserve"> for SCH providers.</w:t>
      </w:r>
    </w:p>
    <w:p w14:paraId="0042B99E" w14:textId="77777777" w:rsidR="006E6345" w:rsidRPr="009652D2" w:rsidRDefault="006E6345" w:rsidP="006E6345">
      <w:pPr>
        <w:numPr>
          <w:ilvl w:val="0"/>
          <w:numId w:val="1"/>
        </w:numPr>
        <w:rPr>
          <w:rFonts w:ascii="Arial" w:hAnsi="Arial" w:cs="Arial"/>
        </w:rPr>
      </w:pPr>
      <w:r w:rsidRPr="006E014E">
        <w:rPr>
          <w:rFonts w:ascii="Arial" w:hAnsi="Arial" w:cs="Arial"/>
        </w:rPr>
        <w:t xml:space="preserve">Cost-to-charge ratio (CCR) used to determine an outlier payment is the </w:t>
      </w:r>
      <w:r w:rsidRPr="009652D2">
        <w:rPr>
          <w:rFonts w:ascii="Arial" w:hAnsi="Arial" w:cs="Arial"/>
        </w:rPr>
        <w:t>sum of the operating and capital cost-to-charge ratios. CCR = Operating CCR + Capital CCR</w:t>
      </w:r>
    </w:p>
    <w:p w14:paraId="1AD79E58" w14:textId="77777777" w:rsidR="006E6345" w:rsidRPr="006E014E" w:rsidRDefault="006E6345" w:rsidP="006E6345">
      <w:pPr>
        <w:ind w:left="360"/>
        <w:rPr>
          <w:rFonts w:ascii="Arial" w:hAnsi="Arial" w:cs="Arial"/>
        </w:rPr>
      </w:pPr>
    </w:p>
    <w:p w14:paraId="5CE2556F" w14:textId="77777777" w:rsidR="006E6345" w:rsidRPr="006E014E" w:rsidRDefault="006E6345" w:rsidP="006E6345">
      <w:pPr>
        <w:numPr>
          <w:ilvl w:val="0"/>
          <w:numId w:val="1"/>
        </w:numPr>
        <w:rPr>
          <w:rFonts w:ascii="Arial" w:hAnsi="Arial" w:cs="Arial"/>
        </w:rPr>
      </w:pPr>
      <w:r w:rsidRPr="006E014E">
        <w:rPr>
          <w:rFonts w:ascii="Arial" w:hAnsi="Arial" w:cs="Arial"/>
        </w:rPr>
        <w:t>Hospital-specific outlier factor</w:t>
      </w:r>
    </w:p>
    <w:p w14:paraId="71F465C7" w14:textId="77777777" w:rsidR="006E6345" w:rsidRPr="006E014E" w:rsidRDefault="006E6345" w:rsidP="006E6345">
      <w:pPr>
        <w:rPr>
          <w:rFonts w:ascii="Arial" w:hAnsi="Arial" w:cs="Arial"/>
        </w:rPr>
      </w:pPr>
    </w:p>
    <w:p w14:paraId="47F1770F" w14:textId="50EBF57E" w:rsidR="006E6345" w:rsidRPr="006E014E" w:rsidRDefault="006E6345" w:rsidP="006E6345">
      <w:pPr>
        <w:numPr>
          <w:ilvl w:val="1"/>
          <w:numId w:val="1"/>
        </w:numPr>
        <w:rPr>
          <w:rFonts w:ascii="Arial" w:hAnsi="Arial" w:cs="Arial"/>
        </w:rPr>
      </w:pPr>
      <w:r w:rsidRPr="006E014E">
        <w:rPr>
          <w:rFonts w:ascii="Arial" w:hAnsi="Arial" w:cs="Arial"/>
        </w:rPr>
        <w:t xml:space="preserve">The fixed loss cost outlier threshold is </w:t>
      </w:r>
      <w:r w:rsidR="00C35B2E">
        <w:rPr>
          <w:rFonts w:ascii="Arial" w:hAnsi="Arial" w:cs="Arial"/>
        </w:rPr>
        <w:t>$4</w:t>
      </w:r>
      <w:r w:rsidR="008270C1">
        <w:rPr>
          <w:rFonts w:ascii="Arial" w:hAnsi="Arial" w:cs="Arial"/>
        </w:rPr>
        <w:t>0,397</w:t>
      </w:r>
      <w:r w:rsidR="001403EA">
        <w:rPr>
          <w:rFonts w:ascii="Arial" w:hAnsi="Arial" w:cs="Arial"/>
        </w:rPr>
        <w:t>.</w:t>
      </w:r>
      <w:r w:rsidR="00A34CC5" w:rsidRPr="00A34CC5">
        <w:rPr>
          <w:rFonts w:ascii="Arial" w:hAnsi="Arial" w:cs="Arial"/>
        </w:rPr>
        <w:t xml:space="preserve"> </w:t>
      </w:r>
      <w:r w:rsidR="00C35B2E">
        <w:rPr>
          <w:rFonts w:ascii="Arial" w:hAnsi="Arial" w:cs="Arial"/>
        </w:rPr>
        <w:t>(</w:t>
      </w:r>
      <w:r w:rsidR="00411E06">
        <w:rPr>
          <w:rFonts w:ascii="Arial" w:hAnsi="Arial" w:cs="Arial"/>
        </w:rPr>
        <w:t>90</w:t>
      </w:r>
      <w:r w:rsidR="00C35B2E">
        <w:rPr>
          <w:rFonts w:ascii="Arial" w:hAnsi="Arial" w:cs="Arial"/>
        </w:rPr>
        <w:t xml:space="preserve"> Federal Register</w:t>
      </w:r>
      <w:r w:rsidR="00CA7B3A">
        <w:rPr>
          <w:rFonts w:ascii="Arial" w:hAnsi="Arial" w:cs="Arial"/>
        </w:rPr>
        <w:t xml:space="preserve"> </w:t>
      </w:r>
      <w:r w:rsidR="00411E06">
        <w:rPr>
          <w:rFonts w:ascii="Arial" w:hAnsi="Arial" w:cs="Arial"/>
        </w:rPr>
        <w:t>37247</w:t>
      </w:r>
      <w:r w:rsidR="00A34CC5">
        <w:rPr>
          <w:rFonts w:ascii="Arial" w:hAnsi="Arial" w:cs="Arial"/>
        </w:rPr>
        <w:t>.)</w:t>
      </w:r>
      <w:r w:rsidR="00DC580F">
        <w:rPr>
          <w:rFonts w:ascii="Arial" w:hAnsi="Arial" w:cs="Arial"/>
        </w:rPr>
        <w:t xml:space="preserve"> </w:t>
      </w:r>
    </w:p>
    <w:p w14:paraId="0CB571BA" w14:textId="77777777" w:rsidR="002D17D1" w:rsidRDefault="006E6345" w:rsidP="002D17D1">
      <w:pPr>
        <w:numPr>
          <w:ilvl w:val="1"/>
          <w:numId w:val="1"/>
        </w:numPr>
        <w:rPr>
          <w:rFonts w:ascii="Arial" w:hAnsi="Arial" w:cs="Arial"/>
        </w:rPr>
      </w:pPr>
      <w:r w:rsidRPr="002D17D1">
        <w:rPr>
          <w:rFonts w:ascii="Arial" w:hAnsi="Arial" w:cs="Arial"/>
        </w:rPr>
        <w:t>The fixed loss cost outlier threshold is allocated to operating and capital components and adjusted for geographic location as follows:</w:t>
      </w:r>
    </w:p>
    <w:p w14:paraId="35A4C49C" w14:textId="59EB241B" w:rsidR="006E6345" w:rsidRPr="002D17D1" w:rsidRDefault="006E6345" w:rsidP="002D17D1">
      <w:pPr>
        <w:pStyle w:val="ListParagraph"/>
        <w:numPr>
          <w:ilvl w:val="2"/>
          <w:numId w:val="1"/>
        </w:numPr>
        <w:rPr>
          <w:rFonts w:ascii="Arial" w:hAnsi="Arial" w:cs="Arial"/>
        </w:rPr>
      </w:pPr>
      <w:r w:rsidRPr="002D17D1">
        <w:rPr>
          <w:rFonts w:ascii="Arial" w:hAnsi="Arial" w:cs="Arial"/>
        </w:rPr>
        <w:t>For discharges occurr</w:t>
      </w:r>
      <w:r w:rsidR="006514F1" w:rsidRPr="002D17D1">
        <w:rPr>
          <w:rFonts w:ascii="Arial" w:hAnsi="Arial" w:cs="Arial"/>
        </w:rPr>
        <w:t xml:space="preserve">ing on or after </w:t>
      </w:r>
      <w:r w:rsidR="009149BD">
        <w:rPr>
          <w:rFonts w:ascii="Arial" w:hAnsi="Arial" w:cs="Arial"/>
        </w:rPr>
        <w:t>December</w:t>
      </w:r>
      <w:r w:rsidR="00C35B2E">
        <w:rPr>
          <w:rFonts w:ascii="Arial" w:hAnsi="Arial" w:cs="Arial"/>
        </w:rPr>
        <w:t xml:space="preserve"> 1, 202</w:t>
      </w:r>
      <w:r w:rsidR="00411E06">
        <w:rPr>
          <w:rFonts w:ascii="Arial" w:hAnsi="Arial" w:cs="Arial"/>
        </w:rPr>
        <w:t>5</w:t>
      </w:r>
      <w:r w:rsidR="00C35B2E">
        <w:rPr>
          <w:rFonts w:ascii="Arial" w:hAnsi="Arial" w:cs="Arial"/>
        </w:rPr>
        <w:t>, use FY 202</w:t>
      </w:r>
      <w:r w:rsidR="00411E06">
        <w:rPr>
          <w:rFonts w:ascii="Arial" w:hAnsi="Arial" w:cs="Arial"/>
        </w:rPr>
        <w:t>6</w:t>
      </w:r>
      <w:r w:rsidRPr="002D17D1">
        <w:rPr>
          <w:rFonts w:ascii="Arial" w:hAnsi="Arial" w:cs="Arial"/>
        </w:rPr>
        <w:t xml:space="preserve"> wage index, which can be foun</w:t>
      </w:r>
      <w:r w:rsidR="005314A1" w:rsidRPr="002D17D1">
        <w:rPr>
          <w:rFonts w:ascii="Arial" w:hAnsi="Arial" w:cs="Arial"/>
        </w:rPr>
        <w:t xml:space="preserve">d in </w:t>
      </w:r>
      <w:r w:rsidR="005314A1" w:rsidRPr="002578CE">
        <w:rPr>
          <w:rFonts w:ascii="Arial" w:hAnsi="Arial" w:cs="Arial"/>
        </w:rPr>
        <w:t xml:space="preserve">the </w:t>
      </w:r>
      <w:r w:rsidR="009149BD" w:rsidRPr="00692319">
        <w:rPr>
          <w:rFonts w:ascii="Arial" w:hAnsi="Arial" w:cs="Arial"/>
        </w:rPr>
        <w:t>FY 202</w:t>
      </w:r>
      <w:r w:rsidR="00411E06">
        <w:rPr>
          <w:rFonts w:ascii="Arial" w:hAnsi="Arial" w:cs="Arial"/>
        </w:rPr>
        <w:t>6</w:t>
      </w:r>
      <w:r w:rsidR="009149BD" w:rsidRPr="00692319">
        <w:rPr>
          <w:rFonts w:ascii="Arial" w:hAnsi="Arial" w:cs="Arial"/>
        </w:rPr>
        <w:t xml:space="preserve"> Final Rule, Correction Notice, and Interim Final Action with Comment Period Impact File:</w:t>
      </w:r>
    </w:p>
    <w:p w14:paraId="0D176D51" w14:textId="767C0E8E" w:rsidR="006E6345" w:rsidRPr="006E014E" w:rsidRDefault="00C35B2E" w:rsidP="006E6345">
      <w:pPr>
        <w:numPr>
          <w:ilvl w:val="3"/>
          <w:numId w:val="1"/>
        </w:numPr>
        <w:rPr>
          <w:rFonts w:ascii="Arial" w:hAnsi="Arial" w:cs="Arial"/>
        </w:rPr>
      </w:pPr>
      <w:r>
        <w:rPr>
          <w:rFonts w:ascii="Arial" w:hAnsi="Arial" w:cs="Arial"/>
        </w:rPr>
        <w:t>If FY 202</w:t>
      </w:r>
      <w:r w:rsidR="00411E06">
        <w:rPr>
          <w:rFonts w:ascii="Arial" w:hAnsi="Arial" w:cs="Arial"/>
        </w:rPr>
        <w:t>6</w:t>
      </w:r>
      <w:r w:rsidR="006E6345" w:rsidRPr="006E014E">
        <w:rPr>
          <w:rFonts w:ascii="Arial" w:hAnsi="Arial" w:cs="Arial"/>
        </w:rPr>
        <w:t xml:space="preserve"> wage index</w:t>
      </w:r>
      <w:r w:rsidR="006E6345" w:rsidRPr="006E014E" w:rsidDel="00F36912">
        <w:rPr>
          <w:rFonts w:ascii="Arial" w:hAnsi="Arial" w:cs="Arial"/>
        </w:rPr>
        <w:t xml:space="preserve"> </w:t>
      </w:r>
      <w:r w:rsidR="006E6345" w:rsidRPr="006E014E">
        <w:rPr>
          <w:rFonts w:ascii="Arial" w:hAnsi="Arial" w:cs="Arial"/>
        </w:rPr>
        <w:t xml:space="preserve">&gt; 1.0, operating outlier </w:t>
      </w:r>
      <w:proofErr w:type="gramStart"/>
      <w:r w:rsidR="006E6345" w:rsidRPr="006E014E">
        <w:rPr>
          <w:rFonts w:ascii="Arial" w:hAnsi="Arial" w:cs="Arial"/>
        </w:rPr>
        <w:t>factor  =</w:t>
      </w:r>
      <w:proofErr w:type="gramEnd"/>
      <w:r w:rsidR="006E6345" w:rsidRPr="006E014E">
        <w:rPr>
          <w:rFonts w:ascii="Arial" w:hAnsi="Arial" w:cs="Arial"/>
        </w:rPr>
        <w:t xml:space="preserve"> </w:t>
      </w:r>
      <w:r w:rsidR="001403EA">
        <w:rPr>
          <w:rFonts w:ascii="Arial" w:hAnsi="Arial" w:cs="Arial"/>
        </w:rPr>
        <w:t>$</w:t>
      </w:r>
      <w:r>
        <w:rPr>
          <w:rFonts w:ascii="Arial" w:hAnsi="Arial" w:cs="Arial"/>
        </w:rPr>
        <w:t>4</w:t>
      </w:r>
      <w:r w:rsidR="00411E06">
        <w:rPr>
          <w:rFonts w:ascii="Arial" w:hAnsi="Arial" w:cs="Arial"/>
        </w:rPr>
        <w:t>0,397</w:t>
      </w:r>
      <w:r w:rsidR="005314A1">
        <w:rPr>
          <w:rFonts w:ascii="Arial" w:hAnsi="Arial" w:cs="Arial"/>
        </w:rPr>
        <w:t xml:space="preserve"> x Operating CCR/CCR x (FY </w:t>
      </w:r>
      <w:r>
        <w:rPr>
          <w:rFonts w:ascii="Arial" w:hAnsi="Arial" w:cs="Arial"/>
        </w:rPr>
        <w:t>202</w:t>
      </w:r>
      <w:r w:rsidR="00411E06">
        <w:rPr>
          <w:rFonts w:ascii="Arial" w:hAnsi="Arial" w:cs="Arial"/>
        </w:rPr>
        <w:t>6</w:t>
      </w:r>
      <w:r w:rsidR="005314A1">
        <w:rPr>
          <w:rFonts w:ascii="Arial" w:hAnsi="Arial" w:cs="Arial"/>
        </w:rPr>
        <w:t xml:space="preserve"> wage index x  .66 +. 34</w:t>
      </w:r>
      <w:r w:rsidR="006E6345" w:rsidRPr="006E014E">
        <w:rPr>
          <w:rFonts w:ascii="Arial" w:hAnsi="Arial" w:cs="Arial"/>
        </w:rPr>
        <w:t>)</w:t>
      </w:r>
    </w:p>
    <w:p w14:paraId="56C96B54" w14:textId="491B8379" w:rsidR="006E6345" w:rsidRPr="006E014E" w:rsidRDefault="007167EC" w:rsidP="006E6345">
      <w:pPr>
        <w:numPr>
          <w:ilvl w:val="3"/>
          <w:numId w:val="1"/>
        </w:numPr>
        <w:rPr>
          <w:rFonts w:ascii="Arial" w:hAnsi="Arial" w:cs="Arial"/>
        </w:rPr>
      </w:pPr>
      <w:r>
        <w:rPr>
          <w:rFonts w:ascii="Arial" w:hAnsi="Arial" w:cs="Arial"/>
        </w:rPr>
        <w:t>If FY 202</w:t>
      </w:r>
      <w:r w:rsidR="00676707">
        <w:rPr>
          <w:rFonts w:ascii="Arial" w:hAnsi="Arial" w:cs="Arial"/>
        </w:rPr>
        <w:t>6</w:t>
      </w:r>
      <w:r w:rsidR="006E6345" w:rsidRPr="006E014E">
        <w:rPr>
          <w:rFonts w:ascii="Arial" w:hAnsi="Arial" w:cs="Arial"/>
        </w:rPr>
        <w:t xml:space="preserve"> wage index</w:t>
      </w:r>
      <w:r w:rsidR="006E6345" w:rsidRPr="006E014E" w:rsidDel="00F36912">
        <w:rPr>
          <w:rFonts w:ascii="Arial" w:hAnsi="Arial" w:cs="Arial"/>
        </w:rPr>
        <w:t xml:space="preserve"> </w:t>
      </w:r>
      <w:r w:rsidR="006E6345" w:rsidRPr="006E014E">
        <w:rPr>
          <w:rFonts w:ascii="Arial" w:hAnsi="Arial" w:cs="Arial"/>
        </w:rPr>
        <w:t xml:space="preserve">&lt; =1.0, operating outlier factor = </w:t>
      </w:r>
      <w:r w:rsidR="001403EA">
        <w:rPr>
          <w:rFonts w:ascii="Arial" w:hAnsi="Arial" w:cs="Arial"/>
        </w:rPr>
        <w:t>$</w:t>
      </w:r>
      <w:r w:rsidR="00EB0443">
        <w:rPr>
          <w:rFonts w:ascii="Arial" w:hAnsi="Arial" w:cs="Arial"/>
        </w:rPr>
        <w:t>4</w:t>
      </w:r>
      <w:r w:rsidR="00676707">
        <w:rPr>
          <w:rFonts w:ascii="Arial" w:hAnsi="Arial" w:cs="Arial"/>
        </w:rPr>
        <w:t>0,397</w:t>
      </w:r>
      <w:r>
        <w:rPr>
          <w:rFonts w:ascii="Arial" w:hAnsi="Arial" w:cs="Arial"/>
        </w:rPr>
        <w:t xml:space="preserve"> x Operating CCR/CCR x (FY 202</w:t>
      </w:r>
      <w:r w:rsidR="00676707">
        <w:rPr>
          <w:rFonts w:ascii="Arial" w:hAnsi="Arial" w:cs="Arial"/>
        </w:rPr>
        <w:t>6</w:t>
      </w:r>
      <w:r w:rsidR="006E6345" w:rsidRPr="006E014E">
        <w:rPr>
          <w:rFonts w:ascii="Arial" w:hAnsi="Arial" w:cs="Arial"/>
        </w:rPr>
        <w:t xml:space="preserve"> wage index x .62 + .38)</w:t>
      </w:r>
    </w:p>
    <w:p w14:paraId="08276A7B" w14:textId="5F206709" w:rsidR="006E6345" w:rsidRPr="002D17D1" w:rsidRDefault="006E6345" w:rsidP="006E6345">
      <w:pPr>
        <w:numPr>
          <w:ilvl w:val="2"/>
          <w:numId w:val="1"/>
        </w:numPr>
        <w:rPr>
          <w:rFonts w:ascii="Arial" w:hAnsi="Arial" w:cs="Arial"/>
          <w:u w:val="double"/>
        </w:rPr>
      </w:pPr>
      <w:r w:rsidRPr="006E014E">
        <w:rPr>
          <w:rFonts w:ascii="Arial" w:hAnsi="Arial" w:cs="Arial"/>
        </w:rPr>
        <w:t xml:space="preserve">For discharges occurring on or after </w:t>
      </w:r>
      <w:r w:rsidR="005D732E">
        <w:rPr>
          <w:rFonts w:ascii="Arial" w:hAnsi="Arial" w:cs="Arial"/>
        </w:rPr>
        <w:t>December</w:t>
      </w:r>
      <w:r w:rsidR="00EB0443">
        <w:rPr>
          <w:rFonts w:ascii="Arial" w:hAnsi="Arial" w:cs="Arial"/>
        </w:rPr>
        <w:t xml:space="preserve"> 1, 202</w:t>
      </w:r>
      <w:r w:rsidR="00F67385">
        <w:rPr>
          <w:rFonts w:ascii="Arial" w:hAnsi="Arial" w:cs="Arial"/>
        </w:rPr>
        <w:t>5</w:t>
      </w:r>
      <w:r w:rsidR="00EB0443">
        <w:rPr>
          <w:rFonts w:ascii="Arial" w:hAnsi="Arial" w:cs="Arial"/>
        </w:rPr>
        <w:t>, use FY 202</w:t>
      </w:r>
      <w:r w:rsidR="00F67385">
        <w:rPr>
          <w:rFonts w:ascii="Arial" w:hAnsi="Arial" w:cs="Arial"/>
        </w:rPr>
        <w:t>6</w:t>
      </w:r>
      <w:r w:rsidRPr="006E014E">
        <w:rPr>
          <w:rFonts w:ascii="Arial" w:hAnsi="Arial" w:cs="Arial"/>
        </w:rPr>
        <w:t xml:space="preserve"> GAF, which can be foun</w:t>
      </w:r>
      <w:r w:rsidR="00DC72DA">
        <w:rPr>
          <w:rFonts w:ascii="Arial" w:hAnsi="Arial" w:cs="Arial"/>
        </w:rPr>
        <w:t xml:space="preserve">d in the </w:t>
      </w:r>
      <w:r w:rsidR="005D732E" w:rsidRPr="00692319">
        <w:rPr>
          <w:rFonts w:ascii="Arial" w:hAnsi="Arial" w:cs="Arial"/>
        </w:rPr>
        <w:t>FY 202</w:t>
      </w:r>
      <w:r w:rsidR="00F67385">
        <w:rPr>
          <w:rFonts w:ascii="Arial" w:hAnsi="Arial" w:cs="Arial"/>
        </w:rPr>
        <w:t>6</w:t>
      </w:r>
      <w:r w:rsidR="005D732E" w:rsidRPr="00692319">
        <w:rPr>
          <w:rFonts w:ascii="Arial" w:hAnsi="Arial" w:cs="Arial"/>
        </w:rPr>
        <w:t xml:space="preserve"> Final Rule, Impact File:</w:t>
      </w:r>
    </w:p>
    <w:p w14:paraId="6B2CB8EA" w14:textId="6F7BE1F6" w:rsidR="006E6345" w:rsidRPr="006E014E" w:rsidRDefault="006E6345" w:rsidP="006E6345">
      <w:pPr>
        <w:numPr>
          <w:ilvl w:val="3"/>
          <w:numId w:val="1"/>
        </w:numPr>
        <w:rPr>
          <w:rFonts w:ascii="Arial" w:hAnsi="Arial" w:cs="Arial"/>
        </w:rPr>
      </w:pPr>
      <w:r w:rsidRPr="006E014E">
        <w:rPr>
          <w:rFonts w:ascii="Arial" w:hAnsi="Arial" w:cs="Arial"/>
        </w:rPr>
        <w:t xml:space="preserve">Capital outlier factor = </w:t>
      </w:r>
      <w:r w:rsidR="00EB0443">
        <w:rPr>
          <w:rFonts w:ascii="Arial" w:hAnsi="Arial" w:cs="Arial"/>
        </w:rPr>
        <w:t>$4</w:t>
      </w:r>
      <w:r w:rsidR="0093500B">
        <w:rPr>
          <w:rFonts w:ascii="Arial" w:hAnsi="Arial" w:cs="Arial"/>
        </w:rPr>
        <w:t>0,397</w:t>
      </w:r>
      <w:r w:rsidR="007167EC">
        <w:rPr>
          <w:rFonts w:ascii="Arial" w:hAnsi="Arial" w:cs="Arial"/>
        </w:rPr>
        <w:t xml:space="preserve"> x Capital CCR/CCR x FY 202</w:t>
      </w:r>
      <w:r w:rsidR="0093500B">
        <w:rPr>
          <w:rFonts w:ascii="Arial" w:hAnsi="Arial" w:cs="Arial"/>
        </w:rPr>
        <w:t>6</w:t>
      </w:r>
      <w:r w:rsidRPr="006E014E">
        <w:rPr>
          <w:rFonts w:ascii="Arial" w:hAnsi="Arial" w:cs="Arial"/>
        </w:rPr>
        <w:t xml:space="preserve"> GAF</w:t>
      </w:r>
    </w:p>
    <w:p w14:paraId="2DBEC6BF" w14:textId="748BF29E" w:rsidR="006E6345" w:rsidRPr="006E014E" w:rsidRDefault="006E6345" w:rsidP="006E6345">
      <w:pPr>
        <w:numPr>
          <w:ilvl w:val="2"/>
          <w:numId w:val="1"/>
        </w:numPr>
        <w:rPr>
          <w:rFonts w:ascii="Arial" w:hAnsi="Arial" w:cs="Arial"/>
        </w:rPr>
      </w:pPr>
      <w:r w:rsidRPr="006E014E">
        <w:rPr>
          <w:rFonts w:ascii="Arial" w:hAnsi="Arial" w:cs="Arial"/>
        </w:rPr>
        <w:t>Hospital-specific outlier factor = operating outlier factor + capital outlier factor</w:t>
      </w:r>
      <w:r w:rsidR="0093500B">
        <w:rPr>
          <w:rFonts w:ascii="Arial" w:hAnsi="Arial" w:cs="Arial"/>
        </w:rPr>
        <w:t xml:space="preserve"> </w:t>
      </w:r>
    </w:p>
    <w:p w14:paraId="0ADB49DC" w14:textId="77777777" w:rsidR="006E6345" w:rsidRPr="006E014E" w:rsidRDefault="006E6345" w:rsidP="006E6345">
      <w:pPr>
        <w:ind w:left="1980"/>
        <w:rPr>
          <w:rFonts w:ascii="Arial" w:hAnsi="Arial" w:cs="Arial"/>
        </w:rPr>
      </w:pPr>
    </w:p>
    <w:p w14:paraId="19AD2071" w14:textId="20A6DB81" w:rsidR="006E6345" w:rsidRPr="006E014E" w:rsidRDefault="006E6345" w:rsidP="004E28D4">
      <w:pPr>
        <w:numPr>
          <w:ilvl w:val="0"/>
          <w:numId w:val="1"/>
        </w:numPr>
        <w:autoSpaceDE w:val="0"/>
        <w:autoSpaceDN w:val="0"/>
        <w:adjustRightInd w:val="0"/>
        <w:spacing w:after="240"/>
        <w:rPr>
          <w:rFonts w:ascii="Arial" w:hAnsi="Arial" w:cs="Arial"/>
        </w:rPr>
      </w:pPr>
      <w:r w:rsidRPr="006E014E">
        <w:rPr>
          <w:rFonts w:ascii="Arial" w:hAnsi="Arial" w:cs="Arial"/>
        </w:rPr>
        <w:t>DRG Relative Weights:</w:t>
      </w:r>
      <w:r w:rsidR="004E28D4">
        <w:rPr>
          <w:rFonts w:ascii="Arial" w:hAnsi="Arial" w:cs="Arial"/>
        </w:rPr>
        <w:t xml:space="preserve"> Updated </w:t>
      </w:r>
      <w:r w:rsidRPr="006E014E">
        <w:rPr>
          <w:rFonts w:ascii="Arial" w:hAnsi="Arial" w:cs="Arial"/>
        </w:rPr>
        <w:t xml:space="preserve">DRG relative weights </w:t>
      </w:r>
      <w:r w:rsidR="00A34CC5">
        <w:rPr>
          <w:rFonts w:ascii="Arial" w:hAnsi="Arial" w:cs="Arial"/>
        </w:rPr>
        <w:t xml:space="preserve">table </w:t>
      </w:r>
      <w:r w:rsidRPr="006E014E">
        <w:rPr>
          <w:rFonts w:ascii="Arial" w:hAnsi="Arial" w:cs="Arial"/>
        </w:rPr>
        <w:t>is entitled “Table 5: List of</w:t>
      </w:r>
      <w:r w:rsidR="004A7E97">
        <w:rPr>
          <w:rFonts w:ascii="Arial" w:hAnsi="Arial" w:cs="Arial"/>
        </w:rPr>
        <w:t xml:space="preserve"> Medicare Severity Diagnosis-Related Groups</w:t>
      </w:r>
      <w:r w:rsidRPr="006E014E">
        <w:rPr>
          <w:rFonts w:ascii="Arial" w:hAnsi="Arial" w:cs="Arial"/>
        </w:rPr>
        <w:t xml:space="preserve"> </w:t>
      </w:r>
      <w:r w:rsidR="004A7E97">
        <w:rPr>
          <w:rFonts w:ascii="Arial" w:hAnsi="Arial" w:cs="Arial"/>
        </w:rPr>
        <w:t>(</w:t>
      </w:r>
      <w:r w:rsidRPr="006E014E">
        <w:rPr>
          <w:rFonts w:ascii="Arial" w:hAnsi="Arial" w:cs="Arial"/>
        </w:rPr>
        <w:t>MS-DRGs</w:t>
      </w:r>
      <w:r w:rsidR="004A7E97">
        <w:rPr>
          <w:rFonts w:ascii="Arial" w:hAnsi="Arial" w:cs="Arial"/>
        </w:rPr>
        <w:t>)</w:t>
      </w:r>
      <w:r w:rsidRPr="006E014E">
        <w:rPr>
          <w:rFonts w:ascii="Arial" w:hAnsi="Arial" w:cs="Arial"/>
        </w:rPr>
        <w:t>, Relative Weighting Factors</w:t>
      </w:r>
      <w:r w:rsidR="004A7E97">
        <w:rPr>
          <w:rFonts w:ascii="Arial" w:hAnsi="Arial" w:cs="Arial"/>
        </w:rPr>
        <w:t>,</w:t>
      </w:r>
      <w:r w:rsidRPr="006E014E">
        <w:rPr>
          <w:rFonts w:ascii="Arial" w:hAnsi="Arial" w:cs="Arial"/>
        </w:rPr>
        <w:t xml:space="preserve"> and Geometric and Arithmetic Mean Length of Stay</w:t>
      </w:r>
      <w:r w:rsidR="00E72D44">
        <w:rPr>
          <w:rFonts w:ascii="Arial" w:hAnsi="Arial" w:cs="Arial"/>
        </w:rPr>
        <w:t xml:space="preserve"> – FY 202</w:t>
      </w:r>
      <w:r w:rsidR="002C7EDA">
        <w:rPr>
          <w:rFonts w:ascii="Arial" w:hAnsi="Arial" w:cs="Arial"/>
        </w:rPr>
        <w:t xml:space="preserve">6 </w:t>
      </w:r>
      <w:r w:rsidR="004A7E97">
        <w:rPr>
          <w:rFonts w:ascii="Arial" w:hAnsi="Arial" w:cs="Arial"/>
        </w:rPr>
        <w:t>Final Rule</w:t>
      </w:r>
      <w:r w:rsidRPr="006E014E">
        <w:rPr>
          <w:rFonts w:ascii="Arial" w:hAnsi="Arial" w:cs="Arial"/>
        </w:rPr>
        <w:t xml:space="preserve">.”  </w:t>
      </w:r>
      <w:r w:rsidR="004A7E97">
        <w:rPr>
          <w:rFonts w:ascii="Arial" w:hAnsi="Arial" w:cs="Arial"/>
        </w:rPr>
        <w:t xml:space="preserve">Table 5 is available on the </w:t>
      </w:r>
      <w:r w:rsidR="00E72D44" w:rsidRPr="00A93AC0">
        <w:rPr>
          <w:rFonts w:ascii="Arial" w:hAnsi="Arial" w:cs="Arial"/>
        </w:rPr>
        <w:t xml:space="preserve">CMS’ </w:t>
      </w:r>
      <w:hyperlink r:id="rId13" w:history="1">
        <w:r w:rsidR="00E72D44" w:rsidRPr="00BD5F8E">
          <w:rPr>
            <w:rStyle w:val="Hyperlink"/>
            <w:rFonts w:ascii="Arial" w:hAnsi="Arial" w:cs="Arial"/>
          </w:rPr>
          <w:t>FY 202</w:t>
        </w:r>
        <w:r w:rsidR="00A93AC0" w:rsidRPr="00BD5F8E">
          <w:rPr>
            <w:rStyle w:val="Hyperlink"/>
            <w:rFonts w:ascii="Arial" w:hAnsi="Arial" w:cs="Arial"/>
          </w:rPr>
          <w:t>6</w:t>
        </w:r>
        <w:r w:rsidR="004A7E97" w:rsidRPr="00BD5F8E">
          <w:rPr>
            <w:rStyle w:val="Hyperlink"/>
            <w:rFonts w:ascii="Arial" w:hAnsi="Arial" w:cs="Arial"/>
          </w:rPr>
          <w:t xml:space="preserve"> IPPS Final Rule Home Page</w:t>
        </w:r>
      </w:hyperlink>
      <w:r w:rsidR="004A7E97" w:rsidRPr="00EB755E">
        <w:rPr>
          <w:rFonts w:ascii="Arial" w:hAnsi="Arial" w:cs="Arial"/>
        </w:rPr>
        <w:t>.</w:t>
      </w:r>
      <w:r w:rsidR="0041045B" w:rsidRPr="006E014E">
        <w:rPr>
          <w:rFonts w:ascii="Arial" w:hAnsi="Arial" w:cs="Arial"/>
        </w:rPr>
        <w:t xml:space="preserve"> </w:t>
      </w:r>
      <w:r w:rsidRPr="006E014E">
        <w:rPr>
          <w:rFonts w:ascii="Arial" w:hAnsi="Arial" w:cs="Arial"/>
        </w:rPr>
        <w:t xml:space="preserve">Section 9789.24, Diagnostic Related Groups, Relative Weights, Geometric Mean Length of Stay is revised to </w:t>
      </w:r>
      <w:r w:rsidR="00CD1D21">
        <w:rPr>
          <w:rFonts w:ascii="Arial" w:hAnsi="Arial" w:cs="Arial"/>
        </w:rPr>
        <w:t>adopt</w:t>
      </w:r>
      <w:r w:rsidR="00CD1D21" w:rsidRPr="006E014E">
        <w:rPr>
          <w:rFonts w:ascii="Arial" w:hAnsi="Arial" w:cs="Arial"/>
        </w:rPr>
        <w:t xml:space="preserve"> </w:t>
      </w:r>
      <w:r w:rsidRPr="006E014E">
        <w:rPr>
          <w:rFonts w:ascii="Arial" w:hAnsi="Arial" w:cs="Arial"/>
        </w:rPr>
        <w:t>these changes effective with discharges occurr</w:t>
      </w:r>
      <w:r w:rsidR="0041045B" w:rsidRPr="006E014E">
        <w:rPr>
          <w:rFonts w:ascii="Arial" w:hAnsi="Arial" w:cs="Arial"/>
        </w:rPr>
        <w:t xml:space="preserve">ing on or after </w:t>
      </w:r>
      <w:r w:rsidR="00EB755E">
        <w:rPr>
          <w:rFonts w:ascii="Arial" w:hAnsi="Arial" w:cs="Arial"/>
        </w:rPr>
        <w:t>December</w:t>
      </w:r>
      <w:r w:rsidR="00E72D44">
        <w:rPr>
          <w:rFonts w:ascii="Arial" w:hAnsi="Arial" w:cs="Arial"/>
        </w:rPr>
        <w:t xml:space="preserve"> 1, 202</w:t>
      </w:r>
      <w:r w:rsidR="00BD5F8E">
        <w:rPr>
          <w:rFonts w:ascii="Arial" w:hAnsi="Arial" w:cs="Arial"/>
        </w:rPr>
        <w:t>5</w:t>
      </w:r>
      <w:r w:rsidRPr="006E014E">
        <w:rPr>
          <w:rFonts w:ascii="Arial" w:hAnsi="Arial" w:cs="Arial"/>
        </w:rPr>
        <w:t>.</w:t>
      </w:r>
    </w:p>
    <w:p w14:paraId="6A10125E" w14:textId="77777777" w:rsidR="00673966" w:rsidRDefault="006E6345" w:rsidP="00673966">
      <w:pPr>
        <w:numPr>
          <w:ilvl w:val="0"/>
          <w:numId w:val="1"/>
        </w:numPr>
        <w:spacing w:after="240"/>
        <w:rPr>
          <w:rFonts w:ascii="Arial" w:hAnsi="Arial" w:cs="Arial"/>
        </w:rPr>
      </w:pPr>
      <w:r w:rsidRPr="006E014E">
        <w:rPr>
          <w:rFonts w:ascii="Arial" w:hAnsi="Arial" w:cs="Arial"/>
        </w:rPr>
        <w:lastRenderedPageBreak/>
        <w:t xml:space="preserve">Maximum Allowable Fees: To determine the standard payment rate, the hospital-specific composite rate would be multiplied by the DRG relative weight and 1.20 multiplier. Additional payments will be made for </w:t>
      </w:r>
      <w:proofErr w:type="gramStart"/>
      <w:r w:rsidRPr="006E014E">
        <w:rPr>
          <w:rFonts w:ascii="Arial" w:hAnsi="Arial" w:cs="Arial"/>
        </w:rPr>
        <w:t>high cost</w:t>
      </w:r>
      <w:proofErr w:type="gramEnd"/>
      <w:r w:rsidRPr="006E014E">
        <w:rPr>
          <w:rFonts w:ascii="Arial" w:hAnsi="Arial" w:cs="Arial"/>
        </w:rPr>
        <w:t xml:space="preserve"> outlier cases and for certain pass-through costs in accordance with the regulations.</w:t>
      </w:r>
    </w:p>
    <w:p w14:paraId="111EAA61" w14:textId="3A99C27C" w:rsidR="006E6345" w:rsidRPr="00673966" w:rsidRDefault="006E6345" w:rsidP="00673966">
      <w:pPr>
        <w:numPr>
          <w:ilvl w:val="0"/>
          <w:numId w:val="1"/>
        </w:numPr>
        <w:spacing w:after="240"/>
        <w:rPr>
          <w:rFonts w:ascii="Arial" w:hAnsi="Arial" w:cs="Arial"/>
        </w:rPr>
      </w:pPr>
      <w:r w:rsidRPr="00673966">
        <w:rPr>
          <w:rFonts w:ascii="Arial" w:hAnsi="Arial" w:cs="Arial"/>
        </w:rPr>
        <w:t>Acute Care Transfers:  Section 9789.22(j)(2)(A) is amended to conform to Medicare’s updates to the qualifying Medicare Severity DRGs when an acute care patient is discharged to a post-acute care provid</w:t>
      </w:r>
      <w:r w:rsidR="00E257BD" w:rsidRPr="00673966">
        <w:rPr>
          <w:rFonts w:ascii="Arial" w:hAnsi="Arial" w:cs="Arial"/>
        </w:rPr>
        <w:t>er, which were indicated in the</w:t>
      </w:r>
      <w:r w:rsidRPr="00673966">
        <w:rPr>
          <w:rFonts w:ascii="Arial" w:hAnsi="Arial" w:cs="Arial"/>
        </w:rPr>
        <w:t xml:space="preserve"> </w:t>
      </w:r>
      <w:r w:rsidR="0034180D">
        <w:rPr>
          <w:rFonts w:ascii="Arial" w:hAnsi="Arial" w:cs="Arial"/>
        </w:rPr>
        <w:t>August 4</w:t>
      </w:r>
      <w:r w:rsidR="00812D85" w:rsidRPr="00673966">
        <w:rPr>
          <w:rFonts w:ascii="Arial" w:hAnsi="Arial" w:cs="Arial"/>
        </w:rPr>
        <w:t xml:space="preserve">, </w:t>
      </w:r>
      <w:proofErr w:type="gramStart"/>
      <w:r w:rsidR="00812D85" w:rsidRPr="00673966">
        <w:rPr>
          <w:rFonts w:ascii="Arial" w:hAnsi="Arial" w:cs="Arial"/>
        </w:rPr>
        <w:t>202</w:t>
      </w:r>
      <w:r w:rsidR="0034180D">
        <w:rPr>
          <w:rFonts w:ascii="Arial" w:hAnsi="Arial" w:cs="Arial"/>
        </w:rPr>
        <w:t>5</w:t>
      </w:r>
      <w:proofErr w:type="gramEnd"/>
      <w:r w:rsidR="002A617F" w:rsidRPr="00673966">
        <w:rPr>
          <w:rFonts w:ascii="Arial" w:hAnsi="Arial" w:cs="Arial"/>
        </w:rPr>
        <w:t xml:space="preserve"> </w:t>
      </w:r>
      <w:r w:rsidR="000251A9">
        <w:rPr>
          <w:rFonts w:ascii="Arial" w:hAnsi="Arial" w:cs="Arial"/>
        </w:rPr>
        <w:t>Final Rule</w:t>
      </w:r>
      <w:r w:rsidR="00B5195B">
        <w:rPr>
          <w:rFonts w:ascii="Arial" w:hAnsi="Arial" w:cs="Arial"/>
        </w:rPr>
        <w:t xml:space="preserve"> </w:t>
      </w:r>
      <w:r w:rsidR="002A617F" w:rsidRPr="00673966">
        <w:rPr>
          <w:rFonts w:ascii="Arial" w:hAnsi="Arial" w:cs="Arial"/>
        </w:rPr>
        <w:t>at</w:t>
      </w:r>
      <w:r w:rsidRPr="00673966">
        <w:rPr>
          <w:rFonts w:ascii="Arial" w:hAnsi="Arial" w:cs="Arial"/>
        </w:rPr>
        <w:t xml:space="preserve"> Federal Register (</w:t>
      </w:r>
      <w:r w:rsidR="00812D85" w:rsidRPr="00673966">
        <w:rPr>
          <w:rFonts w:ascii="Arial" w:hAnsi="Arial" w:cs="Arial"/>
        </w:rPr>
        <w:t xml:space="preserve">Vol. </w:t>
      </w:r>
      <w:r w:rsidR="000251A9">
        <w:rPr>
          <w:rFonts w:ascii="Arial" w:hAnsi="Arial" w:cs="Arial"/>
        </w:rPr>
        <w:t>90</w:t>
      </w:r>
      <w:r w:rsidR="0041045B" w:rsidRPr="00673966">
        <w:rPr>
          <w:rFonts w:ascii="Arial" w:hAnsi="Arial" w:cs="Arial"/>
        </w:rPr>
        <w:t xml:space="preserve"> FR </w:t>
      </w:r>
      <w:r w:rsidR="00AE2B67">
        <w:rPr>
          <w:rFonts w:ascii="Arial" w:hAnsi="Arial" w:cs="Arial"/>
        </w:rPr>
        <w:t>36536</w:t>
      </w:r>
      <w:r w:rsidR="007167EC" w:rsidRPr="00673966">
        <w:rPr>
          <w:rFonts w:ascii="Arial" w:hAnsi="Arial" w:cs="Arial"/>
        </w:rPr>
        <w:t xml:space="preserve">). </w:t>
      </w:r>
      <w:r w:rsidRPr="00673966">
        <w:rPr>
          <w:rFonts w:ascii="Arial" w:hAnsi="Arial" w:cs="Arial"/>
        </w:rPr>
        <w:t>Table 5 lists how the transfer policy will apply when an acute care patient in a particular MS-DRG is discharged to a post-acute care provider.</w:t>
      </w:r>
      <w:r w:rsidR="002A617F" w:rsidRPr="00673966">
        <w:rPr>
          <w:rFonts w:ascii="Arial" w:hAnsi="Arial" w:cs="Arial"/>
        </w:rPr>
        <w:t xml:space="preserve"> Table 5</w:t>
      </w:r>
      <w:r w:rsidR="00692319">
        <w:rPr>
          <w:rFonts w:ascii="Arial" w:hAnsi="Arial" w:cs="Arial"/>
        </w:rPr>
        <w:t xml:space="preserve"> (Final Rule)(Zip)</w:t>
      </w:r>
      <w:r w:rsidR="002A617F" w:rsidRPr="00673966">
        <w:rPr>
          <w:rFonts w:ascii="Arial" w:hAnsi="Arial" w:cs="Arial"/>
        </w:rPr>
        <w:t xml:space="preserve"> </w:t>
      </w:r>
      <w:r w:rsidR="00692319">
        <w:rPr>
          <w:rFonts w:ascii="Arial" w:hAnsi="Arial" w:cs="Arial"/>
        </w:rPr>
        <w:t>is</w:t>
      </w:r>
      <w:r w:rsidR="002A617F" w:rsidRPr="00673966">
        <w:rPr>
          <w:rFonts w:ascii="Arial" w:hAnsi="Arial" w:cs="Arial"/>
        </w:rPr>
        <w:t xml:space="preserve"> available on the </w:t>
      </w:r>
      <w:r w:rsidR="00C87DBE" w:rsidRPr="00673966">
        <w:rPr>
          <w:rFonts w:ascii="Arial" w:hAnsi="Arial" w:cs="Arial"/>
        </w:rPr>
        <w:t xml:space="preserve">CMS’ </w:t>
      </w:r>
      <w:hyperlink r:id="rId14" w:history="1">
        <w:r w:rsidR="00C87DBE" w:rsidRPr="00AE2B67">
          <w:rPr>
            <w:rStyle w:val="Hyperlink"/>
            <w:rFonts w:ascii="Arial" w:hAnsi="Arial" w:cs="Arial"/>
          </w:rPr>
          <w:t>FY 20</w:t>
        </w:r>
        <w:r w:rsidR="00812D85" w:rsidRPr="00AE2B67">
          <w:rPr>
            <w:rStyle w:val="Hyperlink"/>
            <w:rFonts w:ascii="Arial" w:hAnsi="Arial" w:cs="Arial"/>
          </w:rPr>
          <w:t>2</w:t>
        </w:r>
        <w:r w:rsidR="00AE2B67" w:rsidRPr="00AE2B67">
          <w:rPr>
            <w:rStyle w:val="Hyperlink"/>
            <w:rFonts w:ascii="Arial" w:hAnsi="Arial" w:cs="Arial"/>
          </w:rPr>
          <w:t>6</w:t>
        </w:r>
        <w:r w:rsidR="00C87DBE" w:rsidRPr="00AE2B67">
          <w:rPr>
            <w:rStyle w:val="Hyperlink"/>
            <w:rFonts w:ascii="Arial" w:hAnsi="Arial" w:cs="Arial"/>
          </w:rPr>
          <w:t xml:space="preserve"> IPPS Final Rule Home Page</w:t>
        </w:r>
        <w:r w:rsidR="002A617F" w:rsidRPr="00AE2B67">
          <w:rPr>
            <w:rStyle w:val="Hyperlink"/>
            <w:rFonts w:ascii="Arial" w:hAnsi="Arial" w:cs="Arial"/>
          </w:rPr>
          <w:t>.</w:t>
        </w:r>
      </w:hyperlink>
    </w:p>
    <w:p w14:paraId="368FDD2F" w14:textId="3C0FE030" w:rsidR="0072586F" w:rsidRDefault="006E6345" w:rsidP="0076695D">
      <w:pPr>
        <w:numPr>
          <w:ilvl w:val="0"/>
          <w:numId w:val="1"/>
        </w:numPr>
        <w:spacing w:after="240"/>
        <w:rPr>
          <w:rFonts w:ascii="Arial" w:hAnsi="Arial" w:cs="Arial"/>
        </w:rPr>
      </w:pPr>
      <w:r w:rsidRPr="006E014E">
        <w:rPr>
          <w:rFonts w:ascii="Arial" w:hAnsi="Arial" w:cs="Arial"/>
        </w:rPr>
        <w:t>Section 9789.22(j)(2)(B) is amended to conform to Medicare’s updates to Medicare-Severity DRGs subject to payment under this subsection which are indicated with a “yes”, in the “FY20</w:t>
      </w:r>
      <w:r w:rsidR="0096161B">
        <w:rPr>
          <w:rFonts w:ascii="Arial" w:hAnsi="Arial" w:cs="Arial"/>
        </w:rPr>
        <w:t>24</w:t>
      </w:r>
      <w:r w:rsidR="0076695D">
        <w:rPr>
          <w:rFonts w:ascii="Arial" w:hAnsi="Arial" w:cs="Arial"/>
        </w:rPr>
        <w:t xml:space="preserve"> </w:t>
      </w:r>
      <w:r w:rsidRPr="006E014E">
        <w:rPr>
          <w:rFonts w:ascii="Arial" w:hAnsi="Arial" w:cs="Arial"/>
        </w:rPr>
        <w:t xml:space="preserve">Special Pay DRG” column, listed in Table 5, which was indicated in the </w:t>
      </w:r>
      <w:r w:rsidR="000357D1">
        <w:rPr>
          <w:rFonts w:ascii="Arial" w:hAnsi="Arial" w:cs="Arial"/>
        </w:rPr>
        <w:t>August 4</w:t>
      </w:r>
      <w:r w:rsidR="0096161B">
        <w:rPr>
          <w:rFonts w:ascii="Arial" w:hAnsi="Arial" w:cs="Arial"/>
        </w:rPr>
        <w:t xml:space="preserve">, </w:t>
      </w:r>
      <w:proofErr w:type="gramStart"/>
      <w:r w:rsidR="0096161B">
        <w:rPr>
          <w:rFonts w:ascii="Arial" w:hAnsi="Arial" w:cs="Arial"/>
        </w:rPr>
        <w:t>202</w:t>
      </w:r>
      <w:r w:rsidR="000357D1">
        <w:rPr>
          <w:rFonts w:ascii="Arial" w:hAnsi="Arial" w:cs="Arial"/>
        </w:rPr>
        <w:t>5</w:t>
      </w:r>
      <w:proofErr w:type="gramEnd"/>
      <w:r w:rsidR="0096161B">
        <w:rPr>
          <w:rFonts w:ascii="Arial" w:hAnsi="Arial" w:cs="Arial"/>
        </w:rPr>
        <w:t xml:space="preserve"> </w:t>
      </w:r>
      <w:r w:rsidR="00776AFD">
        <w:rPr>
          <w:rFonts w:ascii="Arial" w:hAnsi="Arial" w:cs="Arial"/>
        </w:rPr>
        <w:t>Final Rule</w:t>
      </w:r>
      <w:r w:rsidR="00B5195B">
        <w:rPr>
          <w:rFonts w:ascii="Arial" w:hAnsi="Arial" w:cs="Arial"/>
        </w:rPr>
        <w:t xml:space="preserve"> at </w:t>
      </w:r>
      <w:r w:rsidR="0096161B">
        <w:rPr>
          <w:rFonts w:ascii="Arial" w:hAnsi="Arial" w:cs="Arial"/>
        </w:rPr>
        <w:t xml:space="preserve">Federal Register (Vol. </w:t>
      </w:r>
      <w:r w:rsidR="00776AFD">
        <w:rPr>
          <w:rFonts w:ascii="Arial" w:hAnsi="Arial" w:cs="Arial"/>
        </w:rPr>
        <w:t>90</w:t>
      </w:r>
      <w:r w:rsidR="0096161B">
        <w:rPr>
          <w:rFonts w:ascii="Arial" w:hAnsi="Arial" w:cs="Arial"/>
        </w:rPr>
        <w:t xml:space="preserve"> FR </w:t>
      </w:r>
      <w:r w:rsidR="00776AFD">
        <w:rPr>
          <w:rFonts w:ascii="Arial" w:hAnsi="Arial" w:cs="Arial"/>
        </w:rPr>
        <w:t>36536</w:t>
      </w:r>
      <w:r w:rsidR="0076695D">
        <w:rPr>
          <w:rFonts w:ascii="Arial" w:hAnsi="Arial" w:cs="Arial"/>
        </w:rPr>
        <w:t>)</w:t>
      </w:r>
      <w:r w:rsidRPr="006E014E">
        <w:rPr>
          <w:rFonts w:ascii="Arial" w:hAnsi="Arial" w:cs="Arial"/>
        </w:rPr>
        <w:t>.</w:t>
      </w:r>
      <w:r w:rsidR="00692319">
        <w:rPr>
          <w:rFonts w:ascii="Arial" w:hAnsi="Arial" w:cs="Arial"/>
        </w:rPr>
        <w:t xml:space="preserve"> </w:t>
      </w:r>
      <w:r w:rsidR="00692319" w:rsidRPr="00673966">
        <w:rPr>
          <w:rFonts w:ascii="Arial" w:hAnsi="Arial" w:cs="Arial"/>
        </w:rPr>
        <w:t>Table 5</w:t>
      </w:r>
      <w:r w:rsidR="00692319">
        <w:rPr>
          <w:rFonts w:ascii="Arial" w:hAnsi="Arial" w:cs="Arial"/>
        </w:rPr>
        <w:t xml:space="preserve"> (Final Rule)(Zip)</w:t>
      </w:r>
      <w:r w:rsidR="00692319" w:rsidRPr="00673966">
        <w:rPr>
          <w:rFonts w:ascii="Arial" w:hAnsi="Arial" w:cs="Arial"/>
        </w:rPr>
        <w:t xml:space="preserve"> </w:t>
      </w:r>
      <w:r w:rsidR="00692319">
        <w:rPr>
          <w:rFonts w:ascii="Arial" w:hAnsi="Arial" w:cs="Arial"/>
        </w:rPr>
        <w:t>is</w:t>
      </w:r>
      <w:r w:rsidR="00692319" w:rsidRPr="00673966">
        <w:rPr>
          <w:rFonts w:ascii="Arial" w:hAnsi="Arial" w:cs="Arial"/>
        </w:rPr>
        <w:t xml:space="preserve"> available on the CMS’</w:t>
      </w:r>
      <w:r w:rsidRPr="006E014E">
        <w:rPr>
          <w:rFonts w:ascii="Arial" w:hAnsi="Arial" w:cs="Arial"/>
        </w:rPr>
        <w:t xml:space="preserve"> </w:t>
      </w:r>
      <w:hyperlink r:id="rId15" w:history="1">
        <w:r w:rsidR="007167EC" w:rsidRPr="00776AFD">
          <w:rPr>
            <w:rStyle w:val="Hyperlink"/>
            <w:rFonts w:ascii="Arial" w:hAnsi="Arial" w:cs="Arial"/>
          </w:rPr>
          <w:t>FY 202</w:t>
        </w:r>
        <w:r w:rsidR="00776AFD" w:rsidRPr="00776AFD">
          <w:rPr>
            <w:rStyle w:val="Hyperlink"/>
            <w:rFonts w:ascii="Arial" w:hAnsi="Arial" w:cs="Arial"/>
          </w:rPr>
          <w:t>6</w:t>
        </w:r>
        <w:r w:rsidR="007167EC" w:rsidRPr="00776AFD">
          <w:rPr>
            <w:rStyle w:val="Hyperlink"/>
            <w:rFonts w:ascii="Arial" w:hAnsi="Arial" w:cs="Arial"/>
          </w:rPr>
          <w:t xml:space="preserve"> IPPS Final Rule Home P</w:t>
        </w:r>
        <w:r w:rsidR="00155EF4" w:rsidRPr="00776AFD">
          <w:rPr>
            <w:rStyle w:val="Hyperlink"/>
            <w:rFonts w:ascii="Arial" w:hAnsi="Arial" w:cs="Arial"/>
          </w:rPr>
          <w:t>age.</w:t>
        </w:r>
      </w:hyperlink>
    </w:p>
    <w:p w14:paraId="1178C896" w14:textId="2DDF5887" w:rsidR="0072586F" w:rsidRPr="0072586F" w:rsidRDefault="0072586F" w:rsidP="0072586F">
      <w:pPr>
        <w:numPr>
          <w:ilvl w:val="0"/>
          <w:numId w:val="1"/>
        </w:numPr>
        <w:spacing w:after="240"/>
        <w:rPr>
          <w:rFonts w:ascii="Arial" w:hAnsi="Arial" w:cs="Arial"/>
        </w:rPr>
      </w:pPr>
      <w:r w:rsidRPr="0072586F">
        <w:rPr>
          <w:rFonts w:ascii="Arial" w:hAnsi="Arial" w:cs="Arial"/>
        </w:rPr>
        <w:t>The Order amends sections 9789.20 through 9789.25 to incorporate by reference the applicable Federal Register final rule</w:t>
      </w:r>
      <w:r w:rsidR="007A5B9D">
        <w:rPr>
          <w:rFonts w:ascii="Arial" w:hAnsi="Arial" w:cs="Arial"/>
        </w:rPr>
        <w:t xml:space="preserve">, </w:t>
      </w:r>
      <w:r w:rsidRPr="0072586F">
        <w:rPr>
          <w:rFonts w:ascii="Arial" w:hAnsi="Arial" w:cs="Arial"/>
        </w:rPr>
        <w:t>and Federal Regulations in effect as of the date the Order becomes effective, to be applied to discharges occur</w:t>
      </w:r>
      <w:r>
        <w:rPr>
          <w:rFonts w:ascii="Arial" w:hAnsi="Arial" w:cs="Arial"/>
        </w:rPr>
        <w:t xml:space="preserve">ring on or after </w:t>
      </w:r>
      <w:r w:rsidR="00EA7DBE">
        <w:rPr>
          <w:rFonts w:ascii="Arial" w:hAnsi="Arial" w:cs="Arial"/>
        </w:rPr>
        <w:t>December</w:t>
      </w:r>
      <w:r w:rsidR="00E72D44">
        <w:rPr>
          <w:rFonts w:ascii="Arial" w:hAnsi="Arial" w:cs="Arial"/>
        </w:rPr>
        <w:t xml:space="preserve"> 1, 202</w:t>
      </w:r>
      <w:r w:rsidR="00ED40C4">
        <w:rPr>
          <w:rFonts w:ascii="Arial" w:hAnsi="Arial" w:cs="Arial"/>
        </w:rPr>
        <w:t>5</w:t>
      </w:r>
      <w:r w:rsidR="002A617F">
        <w:rPr>
          <w:rFonts w:ascii="Arial" w:hAnsi="Arial" w:cs="Arial"/>
        </w:rPr>
        <w:t>.</w:t>
      </w:r>
    </w:p>
    <w:sectPr w:rsidR="0072586F" w:rsidRPr="0072586F" w:rsidSect="00FD3D97">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F9953" w14:textId="77777777" w:rsidR="00DB0328" w:rsidRDefault="00DB0328">
      <w:r>
        <w:separator/>
      </w:r>
    </w:p>
  </w:endnote>
  <w:endnote w:type="continuationSeparator" w:id="0">
    <w:p w14:paraId="3D330488" w14:textId="77777777" w:rsidR="00DB0328" w:rsidRDefault="00DB0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B337" w14:textId="77777777" w:rsidR="00DB0328" w:rsidRDefault="00DB0328">
      <w:r>
        <w:separator/>
      </w:r>
    </w:p>
  </w:footnote>
  <w:footnote w:type="continuationSeparator" w:id="0">
    <w:p w14:paraId="7EA4A116" w14:textId="77777777" w:rsidR="00DB0328" w:rsidRDefault="00DB0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A2C17"/>
    <w:multiLevelType w:val="hybridMultilevel"/>
    <w:tmpl w:val="C492882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98743D88">
      <w:start w:val="1"/>
      <w:numFmt w:val="lowerRoman"/>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BCE6C88"/>
    <w:multiLevelType w:val="hybridMultilevel"/>
    <w:tmpl w:val="C7EC25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5CC43C02">
      <w:start w:val="1"/>
      <w:numFmt w:val="lowerRoman"/>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8870024">
    <w:abstractNumId w:val="0"/>
  </w:num>
  <w:num w:numId="2" w16cid:durableId="50424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45"/>
    <w:rsid w:val="000251A9"/>
    <w:rsid w:val="000357D1"/>
    <w:rsid w:val="0005225C"/>
    <w:rsid w:val="000616CB"/>
    <w:rsid w:val="000668E7"/>
    <w:rsid w:val="00066AFE"/>
    <w:rsid w:val="00085C56"/>
    <w:rsid w:val="00090AD2"/>
    <w:rsid w:val="00090BBF"/>
    <w:rsid w:val="0009550D"/>
    <w:rsid w:val="00097A19"/>
    <w:rsid w:val="000C1BBC"/>
    <w:rsid w:val="000C4AD2"/>
    <w:rsid w:val="000C5862"/>
    <w:rsid w:val="000C5F7C"/>
    <w:rsid w:val="000D1590"/>
    <w:rsid w:val="000D654A"/>
    <w:rsid w:val="000F0A88"/>
    <w:rsid w:val="000F3E57"/>
    <w:rsid w:val="00116F9B"/>
    <w:rsid w:val="00124779"/>
    <w:rsid w:val="00133572"/>
    <w:rsid w:val="001403EA"/>
    <w:rsid w:val="0015129B"/>
    <w:rsid w:val="00155EF4"/>
    <w:rsid w:val="00156E5C"/>
    <w:rsid w:val="00161C3B"/>
    <w:rsid w:val="00177EE7"/>
    <w:rsid w:val="00185E49"/>
    <w:rsid w:val="00196065"/>
    <w:rsid w:val="00197BA6"/>
    <w:rsid w:val="001B0276"/>
    <w:rsid w:val="001B3B6C"/>
    <w:rsid w:val="001B3EC8"/>
    <w:rsid w:val="001C3AB1"/>
    <w:rsid w:val="001C421E"/>
    <w:rsid w:val="001E6E28"/>
    <w:rsid w:val="001E7AFC"/>
    <w:rsid w:val="00203A98"/>
    <w:rsid w:val="00240636"/>
    <w:rsid w:val="00254597"/>
    <w:rsid w:val="002578CE"/>
    <w:rsid w:val="0026734F"/>
    <w:rsid w:val="00277B64"/>
    <w:rsid w:val="002A2209"/>
    <w:rsid w:val="002A4F1B"/>
    <w:rsid w:val="002A617F"/>
    <w:rsid w:val="002A6D1C"/>
    <w:rsid w:val="002C7EDA"/>
    <w:rsid w:val="002D17D1"/>
    <w:rsid w:val="002D4E28"/>
    <w:rsid w:val="002D54D5"/>
    <w:rsid w:val="00306933"/>
    <w:rsid w:val="00311531"/>
    <w:rsid w:val="003117B7"/>
    <w:rsid w:val="00315EAA"/>
    <w:rsid w:val="00330140"/>
    <w:rsid w:val="003303A7"/>
    <w:rsid w:val="0034180D"/>
    <w:rsid w:val="00373E9C"/>
    <w:rsid w:val="00381BDC"/>
    <w:rsid w:val="00382ADB"/>
    <w:rsid w:val="00394153"/>
    <w:rsid w:val="00407221"/>
    <w:rsid w:val="0041045B"/>
    <w:rsid w:val="00411E06"/>
    <w:rsid w:val="0042132D"/>
    <w:rsid w:val="004216FF"/>
    <w:rsid w:val="004360A4"/>
    <w:rsid w:val="00464B4C"/>
    <w:rsid w:val="00471ED0"/>
    <w:rsid w:val="00481D7E"/>
    <w:rsid w:val="004920DE"/>
    <w:rsid w:val="00497EFD"/>
    <w:rsid w:val="004A10FB"/>
    <w:rsid w:val="004A7E97"/>
    <w:rsid w:val="004C0734"/>
    <w:rsid w:val="004C0CD1"/>
    <w:rsid w:val="004C5314"/>
    <w:rsid w:val="004D37DB"/>
    <w:rsid w:val="004E28D4"/>
    <w:rsid w:val="00515DCE"/>
    <w:rsid w:val="0052134B"/>
    <w:rsid w:val="005314A1"/>
    <w:rsid w:val="00532BD8"/>
    <w:rsid w:val="00537AE6"/>
    <w:rsid w:val="00564193"/>
    <w:rsid w:val="005700B6"/>
    <w:rsid w:val="0059237F"/>
    <w:rsid w:val="0059356F"/>
    <w:rsid w:val="005A27C6"/>
    <w:rsid w:val="005A7830"/>
    <w:rsid w:val="005B7737"/>
    <w:rsid w:val="005C58BE"/>
    <w:rsid w:val="005D2E08"/>
    <w:rsid w:val="005D732E"/>
    <w:rsid w:val="005E1218"/>
    <w:rsid w:val="00604CB0"/>
    <w:rsid w:val="00614B08"/>
    <w:rsid w:val="00616269"/>
    <w:rsid w:val="00646F62"/>
    <w:rsid w:val="006514F1"/>
    <w:rsid w:val="00670552"/>
    <w:rsid w:val="00673966"/>
    <w:rsid w:val="00676707"/>
    <w:rsid w:val="00677F2E"/>
    <w:rsid w:val="00692319"/>
    <w:rsid w:val="006B48C4"/>
    <w:rsid w:val="006B5BCD"/>
    <w:rsid w:val="006B72BF"/>
    <w:rsid w:val="006C5DBE"/>
    <w:rsid w:val="006D273F"/>
    <w:rsid w:val="006E014E"/>
    <w:rsid w:val="006E3C77"/>
    <w:rsid w:val="006E6345"/>
    <w:rsid w:val="006F018C"/>
    <w:rsid w:val="006F51CB"/>
    <w:rsid w:val="006F5E06"/>
    <w:rsid w:val="007167EC"/>
    <w:rsid w:val="00724BC3"/>
    <w:rsid w:val="0072586F"/>
    <w:rsid w:val="00750442"/>
    <w:rsid w:val="007504DF"/>
    <w:rsid w:val="0075346C"/>
    <w:rsid w:val="0075508B"/>
    <w:rsid w:val="007626B3"/>
    <w:rsid w:val="0076695D"/>
    <w:rsid w:val="007743DB"/>
    <w:rsid w:val="00776AFD"/>
    <w:rsid w:val="00777BE0"/>
    <w:rsid w:val="007A5B9D"/>
    <w:rsid w:val="007B0AA7"/>
    <w:rsid w:val="007F7267"/>
    <w:rsid w:val="00803F2B"/>
    <w:rsid w:val="00806B2E"/>
    <w:rsid w:val="00806C27"/>
    <w:rsid w:val="00807231"/>
    <w:rsid w:val="00812D85"/>
    <w:rsid w:val="008270C1"/>
    <w:rsid w:val="00827CD2"/>
    <w:rsid w:val="008333A3"/>
    <w:rsid w:val="00835CCB"/>
    <w:rsid w:val="00844B57"/>
    <w:rsid w:val="00846701"/>
    <w:rsid w:val="00850FEF"/>
    <w:rsid w:val="00870948"/>
    <w:rsid w:val="0087595C"/>
    <w:rsid w:val="00876F80"/>
    <w:rsid w:val="00885DAB"/>
    <w:rsid w:val="00892B5E"/>
    <w:rsid w:val="008A0098"/>
    <w:rsid w:val="008B1410"/>
    <w:rsid w:val="008C6A6C"/>
    <w:rsid w:val="008D3B44"/>
    <w:rsid w:val="008D63FA"/>
    <w:rsid w:val="008E5ADC"/>
    <w:rsid w:val="009149BD"/>
    <w:rsid w:val="00914C78"/>
    <w:rsid w:val="00916542"/>
    <w:rsid w:val="0093500B"/>
    <w:rsid w:val="00942E0E"/>
    <w:rsid w:val="0096161B"/>
    <w:rsid w:val="009652D2"/>
    <w:rsid w:val="00972F32"/>
    <w:rsid w:val="009A3073"/>
    <w:rsid w:val="009D0892"/>
    <w:rsid w:val="009D3EB2"/>
    <w:rsid w:val="009E6297"/>
    <w:rsid w:val="00A0174A"/>
    <w:rsid w:val="00A34CC5"/>
    <w:rsid w:val="00A505FB"/>
    <w:rsid w:val="00A64CCB"/>
    <w:rsid w:val="00A75346"/>
    <w:rsid w:val="00A82090"/>
    <w:rsid w:val="00A852B0"/>
    <w:rsid w:val="00A93AC0"/>
    <w:rsid w:val="00AB5F78"/>
    <w:rsid w:val="00AB736C"/>
    <w:rsid w:val="00AD7089"/>
    <w:rsid w:val="00AE1E24"/>
    <w:rsid w:val="00AE2B67"/>
    <w:rsid w:val="00AF135F"/>
    <w:rsid w:val="00AF23EA"/>
    <w:rsid w:val="00AF4C8D"/>
    <w:rsid w:val="00B035EB"/>
    <w:rsid w:val="00B1740B"/>
    <w:rsid w:val="00B234A8"/>
    <w:rsid w:val="00B2508D"/>
    <w:rsid w:val="00B45B3A"/>
    <w:rsid w:val="00B5195B"/>
    <w:rsid w:val="00B74BAB"/>
    <w:rsid w:val="00BC67DF"/>
    <w:rsid w:val="00BD5F8E"/>
    <w:rsid w:val="00BE48CC"/>
    <w:rsid w:val="00BF23D3"/>
    <w:rsid w:val="00C00949"/>
    <w:rsid w:val="00C34C05"/>
    <w:rsid w:val="00C35B2E"/>
    <w:rsid w:val="00C50BA0"/>
    <w:rsid w:val="00C54FBE"/>
    <w:rsid w:val="00C60E89"/>
    <w:rsid w:val="00C63883"/>
    <w:rsid w:val="00C857F4"/>
    <w:rsid w:val="00C87DBE"/>
    <w:rsid w:val="00CA7B3A"/>
    <w:rsid w:val="00CC75EC"/>
    <w:rsid w:val="00CD1D21"/>
    <w:rsid w:val="00CD42D5"/>
    <w:rsid w:val="00CE3F22"/>
    <w:rsid w:val="00D0604C"/>
    <w:rsid w:val="00D20E67"/>
    <w:rsid w:val="00D20EE6"/>
    <w:rsid w:val="00D60184"/>
    <w:rsid w:val="00D61A90"/>
    <w:rsid w:val="00D61BE9"/>
    <w:rsid w:val="00D627C2"/>
    <w:rsid w:val="00D67576"/>
    <w:rsid w:val="00D67BF5"/>
    <w:rsid w:val="00D94A6F"/>
    <w:rsid w:val="00D971C8"/>
    <w:rsid w:val="00DA11EC"/>
    <w:rsid w:val="00DB0328"/>
    <w:rsid w:val="00DB20E9"/>
    <w:rsid w:val="00DC580F"/>
    <w:rsid w:val="00DC5EB2"/>
    <w:rsid w:val="00DC72DA"/>
    <w:rsid w:val="00DE438F"/>
    <w:rsid w:val="00E028CA"/>
    <w:rsid w:val="00E1205F"/>
    <w:rsid w:val="00E1432A"/>
    <w:rsid w:val="00E17D3E"/>
    <w:rsid w:val="00E20A67"/>
    <w:rsid w:val="00E257BD"/>
    <w:rsid w:val="00E26553"/>
    <w:rsid w:val="00E30B6E"/>
    <w:rsid w:val="00E31575"/>
    <w:rsid w:val="00E4356D"/>
    <w:rsid w:val="00E45886"/>
    <w:rsid w:val="00E54C0C"/>
    <w:rsid w:val="00E55A71"/>
    <w:rsid w:val="00E72D44"/>
    <w:rsid w:val="00EA7CBD"/>
    <w:rsid w:val="00EA7DBE"/>
    <w:rsid w:val="00EB0443"/>
    <w:rsid w:val="00EB755E"/>
    <w:rsid w:val="00EC1511"/>
    <w:rsid w:val="00EC2893"/>
    <w:rsid w:val="00ED079E"/>
    <w:rsid w:val="00ED082B"/>
    <w:rsid w:val="00ED40C4"/>
    <w:rsid w:val="00ED52EC"/>
    <w:rsid w:val="00EF5BA3"/>
    <w:rsid w:val="00F06502"/>
    <w:rsid w:val="00F14533"/>
    <w:rsid w:val="00F406F0"/>
    <w:rsid w:val="00F67385"/>
    <w:rsid w:val="00F77BED"/>
    <w:rsid w:val="00F954B6"/>
    <w:rsid w:val="00FA540E"/>
    <w:rsid w:val="00FD3D97"/>
    <w:rsid w:val="00FE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4CE91"/>
  <w15:chartTrackingRefBased/>
  <w15:docId w15:val="{D0E82AEF-227F-458C-84FD-6D04BE37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3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E6345"/>
    <w:pPr>
      <w:jc w:val="center"/>
    </w:pPr>
    <w:rPr>
      <w:b/>
      <w:bCs/>
    </w:rPr>
  </w:style>
  <w:style w:type="character" w:customStyle="1" w:styleId="TitleChar">
    <w:name w:val="Title Char"/>
    <w:basedOn w:val="DefaultParagraphFont"/>
    <w:link w:val="Title"/>
    <w:rsid w:val="006E6345"/>
    <w:rPr>
      <w:rFonts w:ascii="Times New Roman" w:eastAsia="Times New Roman" w:hAnsi="Times New Roman" w:cs="Times New Roman"/>
      <w:b/>
      <w:bCs/>
      <w:sz w:val="24"/>
      <w:szCs w:val="24"/>
    </w:rPr>
  </w:style>
  <w:style w:type="character" w:styleId="Hyperlink">
    <w:name w:val="Hyperlink"/>
    <w:rsid w:val="006E6345"/>
    <w:rPr>
      <w:color w:val="000000"/>
      <w:u w:val="single"/>
      <w:shd w:val="clear" w:color="auto" w:fill="auto"/>
    </w:rPr>
  </w:style>
  <w:style w:type="paragraph" w:styleId="Header">
    <w:name w:val="header"/>
    <w:basedOn w:val="Normal"/>
    <w:link w:val="HeaderChar"/>
    <w:rsid w:val="006E6345"/>
    <w:pPr>
      <w:tabs>
        <w:tab w:val="center" w:pos="4320"/>
        <w:tab w:val="right" w:pos="8640"/>
      </w:tabs>
    </w:pPr>
  </w:style>
  <w:style w:type="character" w:customStyle="1" w:styleId="HeaderChar">
    <w:name w:val="Header Char"/>
    <w:basedOn w:val="DefaultParagraphFont"/>
    <w:link w:val="Header"/>
    <w:rsid w:val="006E6345"/>
    <w:rPr>
      <w:rFonts w:ascii="Times New Roman" w:eastAsia="Times New Roman" w:hAnsi="Times New Roman" w:cs="Times New Roman"/>
      <w:sz w:val="24"/>
      <w:szCs w:val="24"/>
    </w:rPr>
  </w:style>
  <w:style w:type="paragraph" w:styleId="Footer">
    <w:name w:val="footer"/>
    <w:basedOn w:val="Normal"/>
    <w:link w:val="FooterChar"/>
    <w:uiPriority w:val="99"/>
    <w:rsid w:val="006E6345"/>
    <w:pPr>
      <w:tabs>
        <w:tab w:val="center" w:pos="4320"/>
        <w:tab w:val="right" w:pos="8640"/>
      </w:tabs>
    </w:pPr>
  </w:style>
  <w:style w:type="character" w:customStyle="1" w:styleId="FooterChar">
    <w:name w:val="Footer Char"/>
    <w:basedOn w:val="DefaultParagraphFont"/>
    <w:link w:val="Footer"/>
    <w:uiPriority w:val="99"/>
    <w:rsid w:val="006E63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C6A6C"/>
    <w:rPr>
      <w:color w:val="954F72" w:themeColor="followedHyperlink"/>
      <w:u w:val="single"/>
    </w:rPr>
  </w:style>
  <w:style w:type="paragraph" w:styleId="ListParagraph">
    <w:name w:val="List Paragraph"/>
    <w:basedOn w:val="Normal"/>
    <w:uiPriority w:val="34"/>
    <w:qFormat/>
    <w:rsid w:val="008C6A6C"/>
    <w:pPr>
      <w:ind w:left="720"/>
      <w:contextualSpacing/>
    </w:pPr>
  </w:style>
  <w:style w:type="character" w:styleId="CommentReference">
    <w:name w:val="annotation reference"/>
    <w:basedOn w:val="DefaultParagraphFont"/>
    <w:uiPriority w:val="99"/>
    <w:semiHidden/>
    <w:unhideWhenUsed/>
    <w:rsid w:val="00124779"/>
    <w:rPr>
      <w:sz w:val="16"/>
      <w:szCs w:val="16"/>
    </w:rPr>
  </w:style>
  <w:style w:type="paragraph" w:styleId="CommentText">
    <w:name w:val="annotation text"/>
    <w:basedOn w:val="Normal"/>
    <w:link w:val="CommentTextChar"/>
    <w:uiPriority w:val="99"/>
    <w:unhideWhenUsed/>
    <w:rsid w:val="00124779"/>
    <w:rPr>
      <w:sz w:val="20"/>
      <w:szCs w:val="20"/>
    </w:rPr>
  </w:style>
  <w:style w:type="character" w:customStyle="1" w:styleId="CommentTextChar">
    <w:name w:val="Comment Text Char"/>
    <w:basedOn w:val="DefaultParagraphFont"/>
    <w:link w:val="CommentText"/>
    <w:uiPriority w:val="99"/>
    <w:rsid w:val="001247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4779"/>
    <w:rPr>
      <w:b/>
      <w:bCs/>
    </w:rPr>
  </w:style>
  <w:style w:type="character" w:customStyle="1" w:styleId="CommentSubjectChar">
    <w:name w:val="Comment Subject Char"/>
    <w:basedOn w:val="CommentTextChar"/>
    <w:link w:val="CommentSubject"/>
    <w:uiPriority w:val="99"/>
    <w:semiHidden/>
    <w:rsid w:val="00124779"/>
    <w:rPr>
      <w:rFonts w:ascii="Times New Roman" w:eastAsia="Times New Roman" w:hAnsi="Times New Roman" w:cs="Times New Roman"/>
      <w:b/>
      <w:bCs/>
      <w:sz w:val="20"/>
      <w:szCs w:val="20"/>
    </w:rPr>
  </w:style>
  <w:style w:type="paragraph" w:styleId="Revision">
    <w:name w:val="Revision"/>
    <w:hidden/>
    <w:uiPriority w:val="99"/>
    <w:semiHidden/>
    <w:rsid w:val="00124779"/>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24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779"/>
    <w:rPr>
      <w:rFonts w:ascii="Segoe UI" w:eastAsia="Times New Roman" w:hAnsi="Segoe UI" w:cs="Segoe UI"/>
      <w:sz w:val="18"/>
      <w:szCs w:val="18"/>
    </w:rPr>
  </w:style>
  <w:style w:type="character" w:styleId="Strong">
    <w:name w:val="Strong"/>
    <w:basedOn w:val="DefaultParagraphFont"/>
    <w:uiPriority w:val="22"/>
    <w:qFormat/>
    <w:rsid w:val="00185E49"/>
    <w:rPr>
      <w:b/>
      <w:bCs/>
    </w:rPr>
  </w:style>
  <w:style w:type="character" w:styleId="UnresolvedMention">
    <w:name w:val="Unresolved Mention"/>
    <w:basedOn w:val="DefaultParagraphFont"/>
    <w:uiPriority w:val="99"/>
    <w:semiHidden/>
    <w:unhideWhenUsed/>
    <w:rsid w:val="002A6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7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payment/prospective-payment-systems/acute-inpatient-pps/fy-2026-ipps-final-rule-home-pa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medicare/payment/prospective-payment-systems/acute-inpatient-pps/fy-2026-ipps-final-rule-home-p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gov/medicare/payment/prospective-payment-systems/acute-inpatient-pps/fy-2026-ipps-final-rule-home-page" TargetMode="External"/><Relationship Id="rId5" Type="http://schemas.openxmlformats.org/officeDocument/2006/relationships/numbering" Target="numbering.xml"/><Relationship Id="rId15" Type="http://schemas.openxmlformats.org/officeDocument/2006/relationships/hyperlink" Target="https://www.cms.gov/medicare/payment/prospective-payment-systems/acute-inpatient-pps/fy-2026-ipps-final-rule-home-pag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gov/medicare/payment/prospective-payment-systems/acute-inpatient-pps/fy-2026-ipps-final-rule-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9" ma:contentTypeDescription="Create a new document." ma:contentTypeScope="" ma:versionID="9072219af30952fd2517e338a9c8ee64">
  <xsd:schema xmlns:xsd="http://www.w3.org/2001/XMLSchema" xmlns:xs="http://www.w3.org/2001/XMLSchema" xmlns:p="http://schemas.microsoft.com/office/2006/metadata/properties" xmlns:ns3="0d47a867-ae85-4f49-9693-a9c2c55e8dca" targetNamespace="http://schemas.microsoft.com/office/2006/metadata/properties" ma:root="true" ma:fieldsID="84352dd0df526c3026ccf3895f032cbf"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E88F-1B3E-4D18-9C9E-F10B9ACC0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4683B-98D8-4522-9477-DB07955A186B}">
  <ds:schemaRefs>
    <ds:schemaRef ds:uri="http://schemas.microsoft.com/sharepoint/v3/contenttype/forms"/>
  </ds:schemaRefs>
</ds:datastoreItem>
</file>

<file path=customXml/itemProps3.xml><?xml version="1.0" encoding="utf-8"?>
<ds:datastoreItem xmlns:ds="http://schemas.openxmlformats.org/officeDocument/2006/customXml" ds:itemID="{3A947E9B-C725-4EC3-8941-3782BA0214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875E31-7F5F-43B4-9BAE-91917BC47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Explanantion -OMFS Update for Inpatient Hospital Services Effective 11/1/2023</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Explanantion -OMFS Update for Inpatient Hospital Services Effective 11/1/2023</dc:title>
  <dc:subject/>
  <dc:creator>Division of Workers' Compensation</dc:creator>
  <cp:keywords/>
  <dc:description/>
  <cp:lastModifiedBy>Cortes, John@DIR</cp:lastModifiedBy>
  <cp:revision>93</cp:revision>
  <dcterms:created xsi:type="dcterms:W3CDTF">2023-09-18T19:21:00Z</dcterms:created>
  <dcterms:modified xsi:type="dcterms:W3CDTF">2025-10-22T18:37:00Z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