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F" w:rsidRPr="00915F8F" w:rsidRDefault="00B877BF" w:rsidP="00920A57">
      <w:pPr>
        <w:pStyle w:val="Heading1"/>
      </w:pPr>
      <w:proofErr w:type="spellStart"/>
      <w:r w:rsidRPr="00915F8F">
        <w:t>OMFS</w:t>
      </w:r>
      <w:proofErr w:type="spellEnd"/>
      <w:r w:rsidRPr="00915F8F">
        <w:t xml:space="preserve"> Update for </w:t>
      </w:r>
      <w:r w:rsidR="0085120C" w:rsidRPr="00915F8F">
        <w:t xml:space="preserve">Physician and </w:t>
      </w:r>
      <w:r w:rsidR="00E13210" w:rsidRPr="00915F8F">
        <w:t>Non-Physician</w:t>
      </w:r>
      <w:r w:rsidR="00A038F1" w:rsidRPr="00915F8F">
        <w:t xml:space="preserve"> Practitioner Services</w:t>
      </w:r>
      <w:r w:rsidR="00920A57">
        <w:br/>
      </w:r>
      <w:r w:rsidR="00A038F1" w:rsidRPr="00915F8F">
        <w:rPr>
          <w:sz w:val="22"/>
          <w:szCs w:val="22"/>
        </w:rPr>
        <w:t xml:space="preserve">Explanation of </w:t>
      </w:r>
      <w:proofErr w:type="gramStart"/>
      <w:r w:rsidR="00A038F1" w:rsidRPr="00915F8F">
        <w:rPr>
          <w:sz w:val="22"/>
          <w:szCs w:val="22"/>
        </w:rPr>
        <w:t>Changes</w:t>
      </w:r>
      <w:proofErr w:type="gramEnd"/>
      <w:r w:rsidR="00920A57">
        <w:rPr>
          <w:sz w:val="22"/>
          <w:szCs w:val="22"/>
        </w:rPr>
        <w:br/>
      </w:r>
      <w:r w:rsidRPr="00915F8F">
        <w:t xml:space="preserve">(Effective </w:t>
      </w:r>
      <w:r w:rsidR="009A281D">
        <w:t xml:space="preserve">January </w:t>
      </w:r>
      <w:r w:rsidR="003F335B">
        <w:t>1</w:t>
      </w:r>
      <w:r w:rsidR="0085120C" w:rsidRPr="00915F8F">
        <w:t>, 201</w:t>
      </w:r>
      <w:r w:rsidR="009A281D">
        <w:t>8</w:t>
      </w:r>
      <w:r w:rsidRPr="00915F8F">
        <w:t>)</w:t>
      </w:r>
    </w:p>
    <w:p w:rsidR="00B877BF" w:rsidRPr="00920A57" w:rsidRDefault="00B877BF" w:rsidP="00920A57">
      <w:pPr>
        <w:pStyle w:val="Heading2"/>
        <w:numPr>
          <w:ilvl w:val="0"/>
          <w:numId w:val="40"/>
        </w:numPr>
        <w:rPr>
          <w:u w:val="single"/>
        </w:rPr>
      </w:pPr>
      <w:r w:rsidRPr="00920A57">
        <w:rPr>
          <w:u w:val="single"/>
        </w:rPr>
        <w:t>Data Sources</w:t>
      </w:r>
    </w:p>
    <w:p w:rsidR="002654E9" w:rsidRDefault="00B877BF" w:rsidP="00CB7BCA">
      <w:pPr>
        <w:ind w:left="360"/>
      </w:pPr>
      <w:r w:rsidRPr="00915F8F">
        <w:t xml:space="preserve">The Medicare </w:t>
      </w:r>
      <w:r w:rsidR="005F528F" w:rsidRPr="00915F8F">
        <w:t xml:space="preserve">CY </w:t>
      </w:r>
      <w:r w:rsidR="00BA562D" w:rsidRPr="00915F8F">
        <w:t>20</w:t>
      </w:r>
      <w:r w:rsidR="008D06BE" w:rsidRPr="00915F8F">
        <w:t>1</w:t>
      </w:r>
      <w:r w:rsidR="00CB7BCA">
        <w:t>8</w:t>
      </w:r>
      <w:r w:rsidR="00BA562D" w:rsidRPr="00915F8F">
        <w:t xml:space="preserve"> </w:t>
      </w:r>
      <w:r w:rsidRPr="00915F8F">
        <w:t xml:space="preserve">update to the </w:t>
      </w:r>
      <w:r w:rsidR="0085120C" w:rsidRPr="00915F8F">
        <w:t xml:space="preserve">Medicare physician fee schedule </w:t>
      </w:r>
      <w:r w:rsidRPr="00915F8F">
        <w:t xml:space="preserve">was </w:t>
      </w:r>
      <w:r w:rsidR="0085120C" w:rsidRPr="00915F8F">
        <w:t xml:space="preserve">published </w:t>
      </w:r>
      <w:r w:rsidR="005F528F" w:rsidRPr="00915F8F">
        <w:t xml:space="preserve">in the Federal Register </w:t>
      </w:r>
      <w:r w:rsidR="0085120C" w:rsidRPr="00915F8F">
        <w:t xml:space="preserve">on </w:t>
      </w:r>
      <w:r w:rsidR="005F528F" w:rsidRPr="00915F8F">
        <w:t>Nov</w:t>
      </w:r>
      <w:r w:rsidR="0085120C" w:rsidRPr="00915F8F">
        <w:t>embe</w:t>
      </w:r>
      <w:r w:rsidR="005F528F" w:rsidRPr="00915F8F">
        <w:t>r 1</w:t>
      </w:r>
      <w:r w:rsidR="006A134F" w:rsidRPr="00915F8F">
        <w:t>5</w:t>
      </w:r>
      <w:r w:rsidR="00CE4AB5" w:rsidRPr="00915F8F">
        <w:t xml:space="preserve">, </w:t>
      </w:r>
      <w:r w:rsidR="00FE5271" w:rsidRPr="00915F8F">
        <w:t>201</w:t>
      </w:r>
      <w:r w:rsidR="00CB7BCA">
        <w:t>7</w:t>
      </w:r>
      <w:r w:rsidR="00241B31" w:rsidRPr="00915F8F">
        <w:t xml:space="preserve"> (</w:t>
      </w:r>
      <w:r w:rsidR="00CB7BCA">
        <w:t>82</w:t>
      </w:r>
      <w:r w:rsidR="00241B31" w:rsidRPr="00915F8F">
        <w:t xml:space="preserve"> Fed. </w:t>
      </w:r>
      <w:proofErr w:type="gramStart"/>
      <w:r w:rsidR="00241B31" w:rsidRPr="00915F8F">
        <w:t xml:space="preserve">Reg. </w:t>
      </w:r>
      <w:r w:rsidR="00CB7BCA">
        <w:t>52976</w:t>
      </w:r>
      <w:r w:rsidR="00241B31" w:rsidRPr="00915F8F">
        <w:t>)</w:t>
      </w:r>
      <w:r w:rsidR="0085120C" w:rsidRPr="00915F8F">
        <w:t>.</w:t>
      </w:r>
      <w:proofErr w:type="gramEnd"/>
      <w:r w:rsidR="0085120C" w:rsidRPr="00915F8F">
        <w:t xml:space="preserve"> It is entitled</w:t>
      </w:r>
      <w:r w:rsidR="00BA562D" w:rsidRPr="00915F8F">
        <w:t xml:space="preserve"> </w:t>
      </w:r>
      <w:r w:rsidR="0057348B">
        <w:t>“</w:t>
      </w:r>
      <w:r w:rsidR="00CB7BCA">
        <w:t>Medicare Program; Revisions to Payment Policies Under the Physician Fee Schedule and Other Revisions to Part B for CY 2018; Medicare Shared Savings Program Requirements; and Medicare Diabetes Prevention Program</w:t>
      </w:r>
      <w:r w:rsidR="0057348B">
        <w:t>”</w:t>
      </w:r>
      <w:r w:rsidR="00587B0D" w:rsidRPr="00915F8F">
        <w:t xml:space="preserve"> (</w:t>
      </w:r>
      <w:r w:rsidR="00853719" w:rsidRPr="00915F8F">
        <w:t>CMS-</w:t>
      </w:r>
      <w:r w:rsidR="00CB7BCA">
        <w:t>1676</w:t>
      </w:r>
      <w:r w:rsidR="00853719" w:rsidRPr="00915F8F">
        <w:t>-F</w:t>
      </w:r>
      <w:r w:rsidR="00CB6512" w:rsidRPr="00915F8F">
        <w:t xml:space="preserve">). </w:t>
      </w:r>
      <w:r w:rsidR="002654E9" w:rsidRPr="00915F8F">
        <w:t>Hereafter, the final rule will be referenced as “CY 201</w:t>
      </w:r>
      <w:r w:rsidR="0057348B">
        <w:t>8</w:t>
      </w:r>
      <w:r w:rsidR="002654E9" w:rsidRPr="00915F8F">
        <w:t xml:space="preserve"> Medicare Physician Fee Schedule Final Rule, CMS-</w:t>
      </w:r>
      <w:r w:rsidR="0057348B">
        <w:t>1676</w:t>
      </w:r>
      <w:r w:rsidR="002654E9" w:rsidRPr="00915F8F">
        <w:t>-F.”</w:t>
      </w:r>
    </w:p>
    <w:p w:rsidR="007B72F4" w:rsidRPr="00915F8F" w:rsidRDefault="00B877BF" w:rsidP="00920A57">
      <w:pPr>
        <w:spacing w:before="120" w:after="240"/>
        <w:ind w:left="360"/>
        <w:rPr>
          <w:szCs w:val="20"/>
        </w:rPr>
      </w:pPr>
      <w:r w:rsidRPr="00915F8F">
        <w:rPr>
          <w:szCs w:val="20"/>
        </w:rPr>
        <w:t xml:space="preserve">The </w:t>
      </w:r>
      <w:hyperlink r:id="rId8" w:history="1">
        <w:r w:rsidRPr="00915F8F">
          <w:rPr>
            <w:rStyle w:val="Hyperlink"/>
            <w:color w:val="0000FF"/>
            <w:szCs w:val="20"/>
            <w:u w:val="none"/>
          </w:rPr>
          <w:t>Federal Register</w:t>
        </w:r>
      </w:hyperlink>
      <w:r w:rsidRPr="00915F8F">
        <w:rPr>
          <w:szCs w:val="20"/>
        </w:rPr>
        <w:t xml:space="preserve"> document</w:t>
      </w:r>
      <w:r w:rsidR="00394CCE">
        <w:rPr>
          <w:szCs w:val="20"/>
        </w:rPr>
        <w:t>s</w:t>
      </w:r>
      <w:r w:rsidR="007150C3" w:rsidRPr="00915F8F">
        <w:rPr>
          <w:szCs w:val="20"/>
        </w:rPr>
        <w:t xml:space="preserve"> and supporting </w:t>
      </w:r>
      <w:r w:rsidR="007B72F4" w:rsidRPr="00915F8F">
        <w:rPr>
          <w:szCs w:val="20"/>
        </w:rPr>
        <w:t xml:space="preserve">download </w:t>
      </w:r>
      <w:r w:rsidR="007150C3" w:rsidRPr="00915F8F">
        <w:rPr>
          <w:szCs w:val="20"/>
        </w:rPr>
        <w:t xml:space="preserve">files are </w:t>
      </w:r>
      <w:r w:rsidRPr="00915F8F">
        <w:rPr>
          <w:szCs w:val="20"/>
        </w:rPr>
        <w:t>available at</w:t>
      </w:r>
      <w:r w:rsidR="00E05431" w:rsidRPr="00915F8F">
        <w:rPr>
          <w:szCs w:val="20"/>
        </w:rPr>
        <w:t>:</w:t>
      </w:r>
      <w:r w:rsidRPr="00915F8F">
        <w:rPr>
          <w:szCs w:val="20"/>
        </w:rPr>
        <w:t xml:space="preserve"> </w:t>
      </w:r>
    </w:p>
    <w:p w:rsidR="00853719" w:rsidRDefault="00161111" w:rsidP="00853719">
      <w:pPr>
        <w:ind w:left="360"/>
        <w:rPr>
          <w:szCs w:val="20"/>
        </w:rPr>
      </w:pPr>
      <w:hyperlink r:id="rId9" w:tooltip="https://www.cms.gov/Medicare/Medicare-Fee-for-Service-Payment/PhysicianFeeSched/PFS-Federal-Regulation-Notices.html?DLSort=2&amp;DLEntries=10&amp;DLPage=1&amp;DLSortDir=descending" w:history="1">
        <w:r w:rsidR="003F335B" w:rsidRPr="009E097E">
          <w:rPr>
            <w:rStyle w:val="Hyperlink"/>
            <w:szCs w:val="20"/>
          </w:rPr>
          <w:t>https://www.cms.gov/Medicare/Medicare-Fee-for-Service-Payment/PhysicianFeeSched/PFS-Federal-Regulation-Notices.html?DLSort=2&amp;DLEntries=10&amp;DLPage=1&amp;DLSortDir=descending</w:t>
        </w:r>
      </w:hyperlink>
    </w:p>
    <w:p w:rsidR="00AF74E0" w:rsidRPr="00920A57" w:rsidRDefault="00E13210" w:rsidP="00920A57">
      <w:pPr>
        <w:pStyle w:val="Heading2"/>
        <w:numPr>
          <w:ilvl w:val="0"/>
          <w:numId w:val="40"/>
        </w:numPr>
        <w:rPr>
          <w:u w:val="single"/>
        </w:rPr>
      </w:pPr>
      <w:r w:rsidRPr="00920A57">
        <w:rPr>
          <w:u w:val="single"/>
        </w:rPr>
        <w:t xml:space="preserve">Revisions </w:t>
      </w:r>
      <w:r w:rsidR="00AF74E0" w:rsidRPr="00920A57">
        <w:rPr>
          <w:u w:val="single"/>
        </w:rPr>
        <w:t xml:space="preserve">Adopted </w:t>
      </w:r>
      <w:r w:rsidR="006D38B8" w:rsidRPr="00920A57">
        <w:rPr>
          <w:u w:val="single"/>
        </w:rPr>
        <w:t>by</w:t>
      </w:r>
      <w:r w:rsidR="00AF74E0" w:rsidRPr="00920A57">
        <w:rPr>
          <w:u w:val="single"/>
        </w:rPr>
        <w:t xml:space="preserve"> Update Order</w:t>
      </w:r>
      <w:r w:rsidRPr="00920A57">
        <w:rPr>
          <w:u w:val="single"/>
        </w:rPr>
        <w:t xml:space="preserve"> to Conform to Medicare</w:t>
      </w:r>
    </w:p>
    <w:p w:rsidR="00090C07" w:rsidRDefault="00ED69F5" w:rsidP="007573B8">
      <w:pPr>
        <w:pStyle w:val="Heading3"/>
      </w:pPr>
      <w:r>
        <w:t>Modifier “F</w:t>
      </w:r>
      <w:r w:rsidR="00656BD7">
        <w:t>Y</w:t>
      </w:r>
      <w:r>
        <w:t xml:space="preserve">” (X-ray taken using </w:t>
      </w:r>
      <w:r w:rsidR="00656BD7">
        <w:t>computed radiography</w:t>
      </w:r>
      <w:r>
        <w:t>)</w:t>
      </w:r>
    </w:p>
    <w:p w:rsidR="00ED69F5" w:rsidRDefault="00090C07" w:rsidP="00920A57">
      <w:pPr>
        <w:spacing w:before="240" w:after="240"/>
        <w:ind w:left="360"/>
      </w:pPr>
      <w:r w:rsidRPr="00ED69F5">
        <w:rPr>
          <w:b/>
        </w:rPr>
        <w:t xml:space="preserve">Title 8 </w:t>
      </w:r>
      <w:proofErr w:type="spellStart"/>
      <w:r w:rsidRPr="00ED69F5">
        <w:rPr>
          <w:b/>
        </w:rPr>
        <w:t>CCR</w:t>
      </w:r>
      <w:proofErr w:type="spellEnd"/>
      <w:r w:rsidRPr="00ED69F5">
        <w:rPr>
          <w:b/>
        </w:rPr>
        <w:t xml:space="preserve"> §</w:t>
      </w:r>
      <w:r w:rsidR="00ED69F5" w:rsidRPr="00090C07">
        <w:rPr>
          <w:b/>
        </w:rPr>
        <w:t>9789.17.3</w:t>
      </w:r>
      <w:r w:rsidR="00656BD7">
        <w:rPr>
          <w:b/>
        </w:rPr>
        <w:t>(b)</w:t>
      </w:r>
      <w:r>
        <w:rPr>
          <w:b/>
        </w:rPr>
        <w:t>:</w:t>
      </w:r>
      <w:r w:rsidR="00ED69F5">
        <w:t xml:space="preserve"> </w:t>
      </w:r>
      <w:r>
        <w:t xml:space="preserve">This subdivision </w:t>
      </w:r>
      <w:r w:rsidR="00ED69F5">
        <w:t>is added to reflect CMS’ adoption of modifier “F</w:t>
      </w:r>
      <w:r w:rsidR="00656BD7">
        <w:t>Y</w:t>
      </w:r>
      <w:r w:rsidR="00ED69F5">
        <w:t xml:space="preserve">” (X-ray taken using </w:t>
      </w:r>
      <w:r w:rsidR="00656BD7">
        <w:t>computed radiography</w:t>
      </w:r>
      <w:r w:rsidR="00ED69F5">
        <w:t xml:space="preserve">). Effective </w:t>
      </w:r>
      <w:r w:rsidR="00656BD7">
        <w:t>January 1, 2018</w:t>
      </w:r>
      <w:r w:rsidR="00ED69F5">
        <w:t xml:space="preserve">, claims for X-rays using </w:t>
      </w:r>
      <w:r w:rsidR="00656BD7">
        <w:t>computed radiography</w:t>
      </w:r>
      <w:r w:rsidR="00ED69F5">
        <w:t xml:space="preserve"> must include Modifier F</w:t>
      </w:r>
      <w:r w:rsidR="00656BD7">
        <w:t>Y</w:t>
      </w:r>
      <w:r w:rsidR="00ED69F5">
        <w:t xml:space="preserve">, which will result in a payment reduction by </w:t>
      </w:r>
      <w:r w:rsidR="00656BD7">
        <w:t>7</w:t>
      </w:r>
      <w:r w:rsidR="00ED69F5">
        <w:t xml:space="preserve"> percent of a Technical Component–only service and reduction by </w:t>
      </w:r>
      <w:r w:rsidR="00656BD7">
        <w:t>7</w:t>
      </w:r>
      <w:r w:rsidR="00ED69F5">
        <w:t xml:space="preserve"> percent of the Technical Component of a global service. For services subject to both the </w:t>
      </w:r>
      <w:proofErr w:type="spellStart"/>
      <w:r w:rsidR="00136F01">
        <w:t>MPPR</w:t>
      </w:r>
      <w:proofErr w:type="spellEnd"/>
      <w:r w:rsidR="00ED69F5">
        <w:t xml:space="preserve"> and the F</w:t>
      </w:r>
      <w:r w:rsidR="00656BD7">
        <w:t>Y</w:t>
      </w:r>
      <w:r w:rsidR="00ED69F5">
        <w:t xml:space="preserve"> modifier reduction on imaging, the F</w:t>
      </w:r>
      <w:r w:rsidR="00656BD7">
        <w:t>Y</w:t>
      </w:r>
      <w:r w:rsidR="00ED69F5">
        <w:t xml:space="preserve"> modifier reduction should be applied before the </w:t>
      </w:r>
      <w:proofErr w:type="spellStart"/>
      <w:r w:rsidR="00ED69F5">
        <w:t>MPPR</w:t>
      </w:r>
      <w:proofErr w:type="spellEnd"/>
      <w:r w:rsidR="00ED69F5">
        <w:t xml:space="preserve"> for radiology diagnostic imaging procedures.</w:t>
      </w:r>
    </w:p>
    <w:p w:rsidR="000C1373" w:rsidRPr="00915F8F" w:rsidRDefault="006B6042" w:rsidP="007573B8">
      <w:pPr>
        <w:pStyle w:val="Heading3"/>
      </w:pPr>
      <w:r w:rsidRPr="00915F8F">
        <w:t>Update Table</w:t>
      </w:r>
    </w:p>
    <w:p w:rsidR="00EE6F58" w:rsidRDefault="00D75FA3" w:rsidP="00920A57">
      <w:pPr>
        <w:spacing w:before="120" w:after="240"/>
        <w:ind w:left="360"/>
        <w:rPr>
          <w:szCs w:val="20"/>
        </w:rPr>
      </w:pPr>
      <w:r w:rsidRPr="00975568">
        <w:rPr>
          <w:b/>
          <w:szCs w:val="20"/>
        </w:rPr>
        <w:t xml:space="preserve">Title 8 </w:t>
      </w:r>
      <w:proofErr w:type="spellStart"/>
      <w:r w:rsidRPr="00975568">
        <w:rPr>
          <w:b/>
          <w:szCs w:val="20"/>
        </w:rPr>
        <w:t>CC</w:t>
      </w:r>
      <w:bookmarkStart w:id="0" w:name="_GoBack"/>
      <w:bookmarkEnd w:id="0"/>
      <w:r w:rsidRPr="00975568">
        <w:rPr>
          <w:b/>
          <w:szCs w:val="20"/>
        </w:rPr>
        <w:t>R</w:t>
      </w:r>
      <w:proofErr w:type="spellEnd"/>
      <w:r w:rsidRPr="00975568">
        <w:rPr>
          <w:b/>
          <w:szCs w:val="20"/>
        </w:rPr>
        <w:t xml:space="preserve"> §9789.</w:t>
      </w:r>
      <w:r w:rsidR="00C11960" w:rsidRPr="00975568">
        <w:rPr>
          <w:b/>
          <w:szCs w:val="20"/>
        </w:rPr>
        <w:t>19</w:t>
      </w:r>
      <w:r w:rsidRPr="00975568">
        <w:rPr>
          <w:b/>
          <w:szCs w:val="20"/>
        </w:rPr>
        <w:t>:</w:t>
      </w:r>
      <w:r w:rsidR="008203DF" w:rsidRPr="00975568">
        <w:rPr>
          <w:b/>
          <w:szCs w:val="20"/>
        </w:rPr>
        <w:t xml:space="preserve"> </w:t>
      </w:r>
      <w:r w:rsidR="001A63F4">
        <w:rPr>
          <w:szCs w:val="20"/>
        </w:rPr>
        <w:t>A new subdivision (</w:t>
      </w:r>
      <w:r w:rsidR="002914D1">
        <w:rPr>
          <w:szCs w:val="20"/>
        </w:rPr>
        <w:t>e</w:t>
      </w:r>
      <w:r w:rsidR="001A63F4">
        <w:rPr>
          <w:szCs w:val="20"/>
        </w:rPr>
        <w:t>) is added, adopting updates f</w:t>
      </w:r>
      <w:r>
        <w:rPr>
          <w:szCs w:val="20"/>
        </w:rPr>
        <w:t xml:space="preserve">or services rendered on or after </w:t>
      </w:r>
      <w:r w:rsidR="002914D1">
        <w:rPr>
          <w:szCs w:val="20"/>
        </w:rPr>
        <w:t>January</w:t>
      </w:r>
      <w:r w:rsidR="008E7D31">
        <w:rPr>
          <w:szCs w:val="20"/>
        </w:rPr>
        <w:t xml:space="preserve"> 1</w:t>
      </w:r>
      <w:r w:rsidR="00C11960" w:rsidRPr="0082637E">
        <w:rPr>
          <w:szCs w:val="20"/>
        </w:rPr>
        <w:t>, 201</w:t>
      </w:r>
      <w:r w:rsidR="002914D1">
        <w:rPr>
          <w:szCs w:val="20"/>
        </w:rPr>
        <w:t>8</w:t>
      </w:r>
      <w:r w:rsidR="00B05413">
        <w:rPr>
          <w:szCs w:val="20"/>
        </w:rPr>
        <w:t>, to conform to Medicare changes</w:t>
      </w:r>
      <w:r>
        <w:rPr>
          <w:szCs w:val="20"/>
        </w:rPr>
        <w:t xml:space="preserve">, </w:t>
      </w:r>
      <w:r w:rsidR="007B4FEE">
        <w:rPr>
          <w:szCs w:val="20"/>
        </w:rPr>
        <w:t>as follows:</w:t>
      </w:r>
    </w:p>
    <w:p w:rsidR="00920A57" w:rsidRPr="0082637E" w:rsidRDefault="00920A57" w:rsidP="00920A57">
      <w:pPr>
        <w:widowControl w:val="0"/>
        <w:spacing w:after="360"/>
        <w:ind w:right="33"/>
      </w:pPr>
      <w:r w:rsidRPr="0082637E">
        <w:t>Adjustment Factors</w:t>
      </w:r>
    </w:p>
    <w:p w:rsidR="00920A57" w:rsidRDefault="00920A57" w:rsidP="00920A57">
      <w:pPr>
        <w:widowControl w:val="0"/>
        <w:spacing w:after="360"/>
      </w:pPr>
      <w:r>
        <w:t>Updated for 2018, to include the relevant 2018 Medicare adjustment factors:</w:t>
      </w:r>
    </w:p>
    <w:p w:rsidR="00920A57" w:rsidRDefault="00920A57" w:rsidP="00920A57">
      <w:pPr>
        <w:widowControl w:val="0"/>
        <w:spacing w:after="360"/>
        <w:rPr>
          <w:szCs w:val="20"/>
        </w:rPr>
      </w:pPr>
      <w:r>
        <w:t xml:space="preserve">From </w:t>
      </w:r>
      <w:r>
        <w:rPr>
          <w:szCs w:val="20"/>
        </w:rPr>
        <w:t xml:space="preserve">CY 2018 Medicare Physician Fee Schedule Final Rule, </w:t>
      </w:r>
      <w:r w:rsidRPr="00C40508">
        <w:rPr>
          <w:szCs w:val="20"/>
        </w:rPr>
        <w:t>CMS-16</w:t>
      </w:r>
      <w:r>
        <w:rPr>
          <w:szCs w:val="20"/>
        </w:rPr>
        <w:t>76</w:t>
      </w:r>
      <w:r w:rsidRPr="00C40508">
        <w:rPr>
          <w:szCs w:val="20"/>
        </w:rPr>
        <w:t>-F</w:t>
      </w:r>
      <w:r>
        <w:rPr>
          <w:szCs w:val="20"/>
        </w:rPr>
        <w:t>:</w:t>
      </w:r>
    </w:p>
    <w:p w:rsidR="00920A57" w:rsidRDefault="00920A57" w:rsidP="00920A57">
      <w:pPr>
        <w:widowControl w:val="0"/>
        <w:spacing w:after="360"/>
        <w:rPr>
          <w:szCs w:val="20"/>
        </w:rPr>
      </w:pPr>
      <w:r>
        <w:t xml:space="preserve">2018 Relative Value Unit budget neutrality adjustment factor: </w:t>
      </w:r>
      <w:r w:rsidRPr="00972362">
        <w:t>0.9990</w:t>
      </w:r>
      <w:r>
        <w:rPr>
          <w:szCs w:val="20"/>
        </w:rPr>
        <w:t xml:space="preserve"> [Table 48]</w:t>
      </w:r>
    </w:p>
    <w:p w:rsidR="00920A57" w:rsidRDefault="00920A57" w:rsidP="00920A57">
      <w:pPr>
        <w:widowControl w:val="0"/>
        <w:spacing w:after="240"/>
      </w:pPr>
      <w:r>
        <w:lastRenderedPageBreak/>
        <w:t xml:space="preserve">2018 Annual increase in the MEI: </w:t>
      </w:r>
      <w:r w:rsidRPr="00720EF6">
        <w:t>1.014</w:t>
      </w:r>
      <w:r>
        <w:t xml:space="preserve"> [82</w:t>
      </w:r>
      <w:r w:rsidRPr="00241B31">
        <w:t xml:space="preserve"> Fed. Reg. </w:t>
      </w:r>
      <w:r>
        <w:t>53014]</w:t>
      </w:r>
    </w:p>
    <w:p w:rsidR="00920A57" w:rsidRDefault="00920A57" w:rsidP="00920A57">
      <w:pPr>
        <w:widowControl w:val="0"/>
        <w:spacing w:after="240"/>
      </w:pPr>
      <w:r>
        <w:t xml:space="preserve">The 2017 cumulative adjustment factor for all services other than anesthesia was </w:t>
      </w:r>
      <w:r w:rsidRPr="00720EF6">
        <w:t>1.0933</w:t>
      </w:r>
      <w:r>
        <w:t xml:space="preserve"> and </w:t>
      </w:r>
      <w:r w:rsidRPr="00720EF6">
        <w:t xml:space="preserve">1.0433 </w:t>
      </w:r>
      <w:r>
        <w:t xml:space="preserve">for anesthesia. [8 </w:t>
      </w:r>
      <w:proofErr w:type="spellStart"/>
      <w:r>
        <w:t>CCR</w:t>
      </w:r>
      <w:proofErr w:type="spellEnd"/>
      <w:r>
        <w:t xml:space="preserve"> §9789.19(d)]</w:t>
      </w:r>
    </w:p>
    <w:p w:rsidR="00920A57" w:rsidRDefault="00920A57" w:rsidP="00920A57">
      <w:pPr>
        <w:widowControl w:val="0"/>
        <w:spacing w:after="240"/>
      </w:pPr>
      <w:r>
        <w:t xml:space="preserve">The 2018 cumulative adjustment factor for all services other than anesthesia is </w:t>
      </w:r>
      <w:r w:rsidRPr="00720EF6">
        <w:t>1.1075</w:t>
      </w:r>
      <w:r w:rsidRPr="002134AD">
        <w:t xml:space="preserve"> </w:t>
      </w:r>
      <w:r w:rsidRPr="003C53C6">
        <w:t xml:space="preserve">and </w:t>
      </w:r>
      <w:r w:rsidRPr="00720EF6">
        <w:t>1.0604</w:t>
      </w:r>
      <w:r w:rsidRPr="003C53C6">
        <w:t xml:space="preserve"> </w:t>
      </w:r>
      <w:r w:rsidRPr="00DB3B55">
        <w:t>for anesthesia</w:t>
      </w:r>
      <w:r>
        <w:t>.</w:t>
      </w:r>
    </w:p>
    <w:p w:rsidR="00920A57" w:rsidRDefault="00920A57" w:rsidP="00920A57">
      <w:pPr>
        <w:widowControl w:val="0"/>
        <w:spacing w:after="240"/>
      </w:pPr>
      <w:r>
        <w:t>[See detailed explanation set forth below this table.]</w:t>
      </w:r>
    </w:p>
    <w:p w:rsidR="00920A57" w:rsidRPr="0082637E" w:rsidRDefault="00920A57" w:rsidP="00920A57">
      <w:pPr>
        <w:widowControl w:val="0"/>
        <w:spacing w:after="240"/>
        <w:ind w:right="33"/>
      </w:pPr>
      <w:r w:rsidRPr="0082637E">
        <w:t xml:space="preserve">Anesthesia Base Units by </w:t>
      </w:r>
      <w:proofErr w:type="spellStart"/>
      <w:r w:rsidRPr="0082637E">
        <w:t>CPT</w:t>
      </w:r>
      <w:proofErr w:type="spellEnd"/>
      <w:r w:rsidRPr="0082637E">
        <w:t xml:space="preserve"> Code</w:t>
      </w:r>
    </w:p>
    <w:p w:rsidR="00920A57" w:rsidRDefault="00920A57" w:rsidP="00920A57">
      <w:pPr>
        <w:spacing w:after="240"/>
        <w:ind w:left="360"/>
      </w:pPr>
      <w:r>
        <w:t>The anesthesia base units for 2018 are found in “</w:t>
      </w:r>
      <w:proofErr w:type="spellStart"/>
      <w:r w:rsidR="004B779D">
        <w:fldChar w:fldCharType="begin"/>
      </w:r>
      <w:r w:rsidR="004B779D">
        <w:instrText xml:space="preserve"> HYPERLINK "https://www.cms.gov/Center/Provider-Type/Anesthesiologists-Center.html" </w:instrText>
      </w:r>
      <w:r w:rsidR="004B779D">
        <w:fldChar w:fldCharType="separate"/>
      </w:r>
      <w:r w:rsidRPr="004A1EBA">
        <w:rPr>
          <w:rStyle w:val="Hyperlink"/>
          <w:u w:val="none"/>
        </w:rPr>
        <w:t>cms1676f_cy_2018_anesthesia_base_units.xlsx</w:t>
      </w:r>
      <w:proofErr w:type="spellEnd"/>
      <w:r w:rsidR="004B779D">
        <w:rPr>
          <w:rStyle w:val="Hyperlink"/>
          <w:u w:val="none"/>
        </w:rPr>
        <w:fldChar w:fldCharType="end"/>
      </w:r>
      <w:r w:rsidRPr="004A1EBA">
        <w:t>.</w:t>
      </w:r>
      <w:r>
        <w:t>”</w:t>
      </w:r>
    </w:p>
    <w:p w:rsidR="00920A57" w:rsidRPr="0082637E" w:rsidRDefault="00920A57" w:rsidP="00920A57">
      <w:pPr>
        <w:widowControl w:val="0"/>
        <w:spacing w:after="240"/>
        <w:ind w:right="33"/>
      </w:pPr>
      <w:r w:rsidRPr="0082637E">
        <w:t>California-Specific Codes</w:t>
      </w:r>
    </w:p>
    <w:p w:rsidR="00920A57" w:rsidRDefault="00920A57" w:rsidP="00920A57">
      <w:pPr>
        <w:spacing w:after="240"/>
        <w:ind w:left="360"/>
      </w:pPr>
      <w:r>
        <w:t>The maximum fee for each of these codes has been updated by the MEI 1.4% increase (1.014) pursuant to section 9789.12.14.</w:t>
      </w:r>
    </w:p>
    <w:p w:rsidR="00920A57" w:rsidRPr="007E57E5" w:rsidRDefault="00920A57" w:rsidP="00920A57">
      <w:pPr>
        <w:widowControl w:val="0"/>
        <w:spacing w:after="240"/>
        <w:ind w:right="33"/>
      </w:pPr>
      <w:r w:rsidRPr="007E57E5">
        <w:t>CCI Edits: Medically Unlikely Edits</w:t>
      </w:r>
    </w:p>
    <w:p w:rsidR="00920A57" w:rsidRDefault="00920A57" w:rsidP="00920A57">
      <w:pPr>
        <w:spacing w:after="240"/>
        <w:ind w:left="360"/>
        <w:rPr>
          <w:rFonts w:eastAsia="Calibri"/>
          <w:color w:val="000000"/>
          <w:sz w:val="23"/>
          <w:szCs w:val="23"/>
        </w:rPr>
      </w:pPr>
      <w:r>
        <w:t xml:space="preserve">For services rendered on or after October 1, 2017, use: </w:t>
      </w:r>
      <w:r w:rsidRPr="00353B81">
        <w:rPr>
          <w:rFonts w:eastAsia="Calibri"/>
          <w:color w:val="000000"/>
          <w:sz w:val="23"/>
          <w:szCs w:val="23"/>
        </w:rPr>
        <w:t xml:space="preserve">“Practitioner Services </w:t>
      </w:r>
      <w:proofErr w:type="spellStart"/>
      <w:r w:rsidRPr="00353B81">
        <w:rPr>
          <w:rFonts w:eastAsia="Calibri"/>
          <w:color w:val="000000"/>
          <w:sz w:val="23"/>
          <w:szCs w:val="23"/>
        </w:rPr>
        <w:t>MUE</w:t>
      </w:r>
      <w:proofErr w:type="spellEnd"/>
      <w:r w:rsidRPr="00353B81">
        <w:rPr>
          <w:rFonts w:eastAsia="Calibri"/>
          <w:color w:val="000000"/>
          <w:sz w:val="23"/>
          <w:szCs w:val="23"/>
        </w:rPr>
        <w:t xml:space="preserve"> Table – Effective 10/1/2017.”</w:t>
      </w:r>
    </w:p>
    <w:p w:rsidR="00920A57" w:rsidRPr="009E56A3" w:rsidRDefault="00920A57" w:rsidP="00920A57">
      <w:pPr>
        <w:widowControl w:val="0"/>
        <w:spacing w:after="240"/>
        <w:ind w:right="33"/>
      </w:pPr>
      <w:r w:rsidRPr="009E56A3">
        <w:t>CCI Edits: National Correct Coding Initiative Policy Manual for Medicare Services</w:t>
      </w:r>
    </w:p>
    <w:p w:rsidR="00920A57" w:rsidRDefault="00920A57" w:rsidP="00920A57">
      <w:pPr>
        <w:spacing w:after="240"/>
        <w:ind w:left="360"/>
      </w:pPr>
      <w:r w:rsidRPr="009E56A3">
        <w:t>Updated to the CMS’ 201</w:t>
      </w:r>
      <w:r>
        <w:t>8</w:t>
      </w:r>
      <w:r w:rsidRPr="009E56A3">
        <w:t xml:space="preserve"> annual manual.</w:t>
      </w:r>
    </w:p>
    <w:p w:rsidR="00920A57" w:rsidRPr="007E57E5" w:rsidRDefault="00920A57" w:rsidP="00920A57">
      <w:pPr>
        <w:widowControl w:val="0"/>
        <w:spacing w:after="240"/>
        <w:ind w:right="33"/>
      </w:pPr>
      <w:r w:rsidRPr="007E57E5">
        <w:t>CCI Edits: Physician CCI Edits</w:t>
      </w:r>
    </w:p>
    <w:p w:rsidR="00920A57" w:rsidRPr="007E57E5" w:rsidRDefault="00920A57" w:rsidP="00920A57">
      <w:pPr>
        <w:widowControl w:val="0"/>
        <w:spacing w:after="240"/>
        <w:ind w:right="33"/>
      </w:pPr>
      <w:r w:rsidRPr="007E57E5">
        <w:t xml:space="preserve">(Practitioner </w:t>
      </w:r>
      <w:proofErr w:type="spellStart"/>
      <w:r w:rsidRPr="007E57E5">
        <w:t>PTP</w:t>
      </w:r>
      <w:proofErr w:type="spellEnd"/>
      <w:r w:rsidRPr="007E57E5">
        <w:t xml:space="preserve"> Edits)</w:t>
      </w:r>
    </w:p>
    <w:p w:rsidR="00920A57" w:rsidRDefault="00920A57" w:rsidP="00920A57">
      <w:pPr>
        <w:spacing w:after="240"/>
        <w:ind w:left="360"/>
      </w:pPr>
      <w:proofErr w:type="gramStart"/>
      <w:r w:rsidRPr="007D545A">
        <w:t xml:space="preserve">Updated to </w:t>
      </w:r>
      <w:r>
        <w:t xml:space="preserve">January 1, </w:t>
      </w:r>
      <w:r w:rsidRPr="007D545A">
        <w:t>201</w:t>
      </w:r>
      <w:r>
        <w:t>8</w:t>
      </w:r>
      <w:r w:rsidRPr="007D545A">
        <w:t>.</w:t>
      </w:r>
      <w:proofErr w:type="gramEnd"/>
    </w:p>
    <w:p w:rsidR="00920A57" w:rsidRPr="0082637E" w:rsidRDefault="00920A57" w:rsidP="00920A57">
      <w:pPr>
        <w:widowControl w:val="0"/>
        <w:spacing w:after="240"/>
        <w:ind w:right="33"/>
      </w:pPr>
      <w:r w:rsidRPr="0082637E">
        <w:t>CMS’ Medicare National Physician Fee Schedule Relative Value File [Zip]</w:t>
      </w:r>
    </w:p>
    <w:p w:rsidR="00920A57" w:rsidRDefault="00920A57" w:rsidP="00920A57">
      <w:pPr>
        <w:spacing w:after="240"/>
        <w:ind w:left="360"/>
      </w:pPr>
      <w:proofErr w:type="gramStart"/>
      <w:r>
        <w:t xml:space="preserve">Updated to the CMS’ 2018 </w:t>
      </w:r>
      <w:proofErr w:type="spellStart"/>
      <w:r>
        <w:t>RVU18A</w:t>
      </w:r>
      <w:proofErr w:type="spellEnd"/>
      <w:r>
        <w:t>.</w:t>
      </w:r>
      <w:proofErr w:type="gramEnd"/>
    </w:p>
    <w:p w:rsidR="00920A57" w:rsidRPr="0082637E" w:rsidRDefault="00920A57" w:rsidP="00920A57">
      <w:pPr>
        <w:widowControl w:val="0"/>
        <w:ind w:right="33"/>
      </w:pPr>
      <w:r w:rsidRPr="0082637E">
        <w:t>Conversion Factors adjusted for MEI and Relative Va</w:t>
      </w:r>
      <w:r>
        <w:t>lue Scale adjustment factor</w:t>
      </w:r>
    </w:p>
    <w:p w:rsidR="00920A57" w:rsidRDefault="00920A57" w:rsidP="00920A57">
      <w:pPr>
        <w:widowControl w:val="0"/>
      </w:pPr>
      <w:r>
        <w:t xml:space="preserve">Updated the conversion factors in accordance with subdivision (c) of 8 </w:t>
      </w:r>
      <w:proofErr w:type="spellStart"/>
      <w:r>
        <w:t>CCR</w:t>
      </w:r>
      <w:proofErr w:type="spellEnd"/>
      <w:r>
        <w:t xml:space="preserve"> §9789.12.5. The 2018 Adjusted Conversion Factors are the Conversion Factors used to determine the maximum fees.</w:t>
      </w:r>
    </w:p>
    <w:p w:rsidR="00920A57" w:rsidRDefault="00920A57" w:rsidP="00920A57">
      <w:pPr>
        <w:widowControl w:val="0"/>
        <w:spacing w:after="240"/>
      </w:pPr>
      <w:r>
        <w:t>[See detailed explanation set forth below this table.]</w:t>
      </w:r>
    </w:p>
    <w:p w:rsidR="00920A57" w:rsidRDefault="00920A57" w:rsidP="00920A57">
      <w:pPr>
        <w:widowControl w:val="0"/>
        <w:spacing w:after="240"/>
        <w:ind w:right="33"/>
      </w:pPr>
      <w:r w:rsidRPr="0082637E">
        <w:t>Current Procedural Terminology (</w:t>
      </w:r>
      <w:proofErr w:type="spellStart"/>
      <w:r w:rsidRPr="0082637E">
        <w:t>CPT</w:t>
      </w:r>
      <w:proofErr w:type="spellEnd"/>
      <w:r w:rsidRPr="0082637E">
        <w:t>®)</w:t>
      </w:r>
    </w:p>
    <w:p w:rsidR="00920A57" w:rsidRDefault="00920A57" w:rsidP="00920A57">
      <w:pPr>
        <w:spacing w:after="240"/>
        <w:ind w:left="360"/>
      </w:pPr>
      <w:proofErr w:type="gramStart"/>
      <w:r>
        <w:t xml:space="preserve">Updated to </w:t>
      </w:r>
      <w:proofErr w:type="spellStart"/>
      <w:r>
        <w:t>CPT</w:t>
      </w:r>
      <w:proofErr w:type="spellEnd"/>
      <w:r w:rsidRPr="007158F1">
        <w:t>®</w:t>
      </w:r>
      <w:r>
        <w:t xml:space="preserve"> 2018.</w:t>
      </w:r>
      <w:proofErr w:type="gramEnd"/>
    </w:p>
    <w:p w:rsidR="00920A57" w:rsidRDefault="00920A57" w:rsidP="00920A57">
      <w:pPr>
        <w:widowControl w:val="0"/>
        <w:spacing w:after="120"/>
        <w:ind w:right="33"/>
      </w:pPr>
      <w:r w:rsidRPr="0082637E">
        <w:lastRenderedPageBreak/>
        <w:t>Current Procedural Terminology</w:t>
      </w:r>
    </w:p>
    <w:p w:rsidR="00920A57" w:rsidRPr="0082637E" w:rsidRDefault="00920A57" w:rsidP="00920A57">
      <w:pPr>
        <w:widowControl w:val="0"/>
        <w:spacing w:after="120"/>
        <w:ind w:right="33"/>
      </w:pPr>
      <w:proofErr w:type="spellStart"/>
      <w:r w:rsidRPr="0082637E">
        <w:t>CPT</w:t>
      </w:r>
      <w:proofErr w:type="spellEnd"/>
      <w:r w:rsidRPr="0082637E">
        <w:t xml:space="preserve"> codes that shall not be used</w:t>
      </w:r>
    </w:p>
    <w:p w:rsidR="00920A57" w:rsidRDefault="00920A57" w:rsidP="00920A57">
      <w:pPr>
        <w:spacing w:after="120"/>
        <w:ind w:left="360"/>
      </w:pPr>
      <w:proofErr w:type="spellStart"/>
      <w:r>
        <w:t>CPT</w:t>
      </w:r>
      <w:proofErr w:type="spellEnd"/>
      <w:r>
        <w:t xml:space="preserve"> code 97127 was added as a code that shall not be used. Instead, </w:t>
      </w:r>
      <w:proofErr w:type="spellStart"/>
      <w:r>
        <w:t>HCPCS</w:t>
      </w:r>
      <w:proofErr w:type="spellEnd"/>
      <w:r>
        <w:t xml:space="preserve"> code </w:t>
      </w:r>
      <w:proofErr w:type="spellStart"/>
      <w:r>
        <w:t>G0515</w:t>
      </w:r>
      <w:proofErr w:type="spellEnd"/>
      <w:r>
        <w:t xml:space="preserve"> should be used.</w:t>
      </w:r>
    </w:p>
    <w:p w:rsidR="00920A57" w:rsidRPr="0082637E" w:rsidRDefault="00920A57" w:rsidP="00920A57">
      <w:pPr>
        <w:widowControl w:val="0"/>
        <w:spacing w:after="120"/>
        <w:ind w:right="33"/>
      </w:pPr>
      <w:r w:rsidRPr="0082637E">
        <w:t xml:space="preserve">Diagnostic Cardiovascular Procedure </w:t>
      </w:r>
      <w:proofErr w:type="spellStart"/>
      <w:r w:rsidRPr="0082637E">
        <w:t>CPT</w:t>
      </w:r>
      <w:proofErr w:type="spellEnd"/>
      <w:r w:rsidRPr="0082637E">
        <w:t xml:space="preserve"> codes subject to the </w:t>
      </w:r>
      <w:proofErr w:type="spellStart"/>
      <w:r w:rsidRPr="0082637E">
        <w:t>MPPR</w:t>
      </w:r>
      <w:proofErr w:type="spellEnd"/>
    </w:p>
    <w:p w:rsidR="00920A57" w:rsidRDefault="00920A57" w:rsidP="00920A57">
      <w:pPr>
        <w:spacing w:after="120"/>
        <w:ind w:left="360"/>
      </w:pPr>
      <w:proofErr w:type="gramStart"/>
      <w:r>
        <w:t>Updated to 2018.</w:t>
      </w:r>
      <w:proofErr w:type="gramEnd"/>
    </w:p>
    <w:p w:rsidR="00920A57" w:rsidRPr="0082637E" w:rsidRDefault="00920A57" w:rsidP="00920A57">
      <w:pPr>
        <w:widowControl w:val="0"/>
        <w:spacing w:after="120"/>
        <w:ind w:right="33"/>
      </w:pPr>
      <w:r w:rsidRPr="0082637E">
        <w:t>Diagnostic Imaging Family Indicator Description</w:t>
      </w:r>
    </w:p>
    <w:p w:rsidR="00920A57" w:rsidRDefault="00920A57" w:rsidP="00920A57">
      <w:pPr>
        <w:spacing w:after="120"/>
        <w:ind w:left="360"/>
      </w:pPr>
      <w:proofErr w:type="gramStart"/>
      <w:r>
        <w:t>Unchanged</w:t>
      </w:r>
      <w:r w:rsidRPr="007F2457">
        <w:t>.</w:t>
      </w:r>
      <w:proofErr w:type="gramEnd"/>
    </w:p>
    <w:p w:rsidR="00920A57" w:rsidRPr="0082637E" w:rsidRDefault="00920A57" w:rsidP="00920A57">
      <w:pPr>
        <w:widowControl w:val="0"/>
        <w:spacing w:after="120"/>
        <w:ind w:right="33"/>
      </w:pPr>
      <w:r w:rsidRPr="0082637E">
        <w:t xml:space="preserve">Diagnostic Imaging Family Procedures Subject to the </w:t>
      </w:r>
      <w:proofErr w:type="spellStart"/>
      <w:r w:rsidRPr="0082637E">
        <w:t>MPPR</w:t>
      </w:r>
      <w:proofErr w:type="spellEnd"/>
    </w:p>
    <w:p w:rsidR="00920A57" w:rsidRDefault="00920A57" w:rsidP="00920A57">
      <w:pPr>
        <w:spacing w:after="120"/>
        <w:ind w:left="360"/>
      </w:pPr>
      <w:proofErr w:type="gramStart"/>
      <w:r w:rsidRPr="007F2457">
        <w:t xml:space="preserve">Updated to </w:t>
      </w:r>
      <w:r>
        <w:t>2018</w:t>
      </w:r>
      <w:r w:rsidRPr="007F2457">
        <w:t>.</w:t>
      </w:r>
      <w:proofErr w:type="gramEnd"/>
    </w:p>
    <w:p w:rsidR="00920A57" w:rsidRPr="0082637E" w:rsidRDefault="00920A57" w:rsidP="00920A57">
      <w:pPr>
        <w:widowControl w:val="0"/>
        <w:spacing w:after="120"/>
        <w:ind w:right="33"/>
      </w:pPr>
      <w:r w:rsidRPr="0082637E">
        <w:t xml:space="preserve">Diagnostic Imaging Multiple Procedures Subject to the </w:t>
      </w:r>
      <w:proofErr w:type="spellStart"/>
      <w:r w:rsidRPr="0082637E">
        <w:t>MPPR</w:t>
      </w:r>
      <w:proofErr w:type="spellEnd"/>
    </w:p>
    <w:p w:rsidR="00920A57" w:rsidRDefault="00920A57" w:rsidP="00920A57">
      <w:pPr>
        <w:spacing w:after="120"/>
        <w:ind w:left="360"/>
      </w:pPr>
      <w:proofErr w:type="gramStart"/>
      <w:r w:rsidRPr="007F2457">
        <w:t xml:space="preserve">Updated to </w:t>
      </w:r>
      <w:r>
        <w:t>2018</w:t>
      </w:r>
      <w:r w:rsidRPr="007F2457">
        <w:t>.</w:t>
      </w:r>
      <w:proofErr w:type="gramEnd"/>
    </w:p>
    <w:p w:rsidR="00920A57" w:rsidRPr="0082637E" w:rsidRDefault="00920A57" w:rsidP="00920A57">
      <w:pPr>
        <w:widowControl w:val="0"/>
        <w:spacing w:after="120"/>
        <w:ind w:right="33"/>
      </w:pPr>
      <w:proofErr w:type="spellStart"/>
      <w:r w:rsidRPr="0082637E">
        <w:t>DWC</w:t>
      </w:r>
      <w:proofErr w:type="spellEnd"/>
      <w:r w:rsidRPr="0082637E">
        <w:t xml:space="preserve"> Pharmaceutical Fee Schedule</w:t>
      </w:r>
    </w:p>
    <w:p w:rsidR="00920A57" w:rsidRDefault="00920A57" w:rsidP="00920A57">
      <w:pPr>
        <w:widowControl w:val="0"/>
        <w:spacing w:after="120"/>
      </w:pPr>
      <w:r>
        <w:t xml:space="preserve">Sets forth reference to </w:t>
      </w:r>
      <w:proofErr w:type="spellStart"/>
      <w:r>
        <w:t>DWC</w:t>
      </w:r>
      <w:proofErr w:type="spellEnd"/>
      <w:r>
        <w:t xml:space="preserve"> pharmaceutical fee schedule web page, which is unchanged from 2017.</w:t>
      </w:r>
    </w:p>
    <w:p w:rsidR="00920A57" w:rsidRDefault="00920A57" w:rsidP="00920A57">
      <w:pPr>
        <w:spacing w:after="120"/>
        <w:ind w:left="360"/>
      </w:pPr>
      <w:r w:rsidRPr="0082637E">
        <w:t>Health Professional Shortage Area zip code data files</w:t>
      </w:r>
    </w:p>
    <w:p w:rsidR="00920A57" w:rsidRDefault="00920A57" w:rsidP="00920A57">
      <w:pPr>
        <w:widowControl w:val="0"/>
        <w:spacing w:after="120"/>
      </w:pPr>
      <w:proofErr w:type="gramStart"/>
      <w:r>
        <w:t xml:space="preserve">Updated to 2018 files for the Primary Care </w:t>
      </w:r>
      <w:proofErr w:type="spellStart"/>
      <w:r>
        <w:t>HPSA</w:t>
      </w:r>
      <w:proofErr w:type="spellEnd"/>
      <w:r>
        <w:t xml:space="preserve"> and the Mental Health </w:t>
      </w:r>
      <w:proofErr w:type="spellStart"/>
      <w:r>
        <w:t>HPSA</w:t>
      </w:r>
      <w:proofErr w:type="spellEnd"/>
      <w:r>
        <w:t>.</w:t>
      </w:r>
      <w:proofErr w:type="gramEnd"/>
    </w:p>
    <w:p w:rsidR="00920A57" w:rsidRDefault="00920A57" w:rsidP="00920A57">
      <w:pPr>
        <w:spacing w:after="120"/>
        <w:ind w:left="360"/>
      </w:pPr>
      <w:r w:rsidRPr="0082637E">
        <w:t xml:space="preserve">Health Resources and Services Administration: </w:t>
      </w:r>
      <w:proofErr w:type="spellStart"/>
      <w:r w:rsidRPr="0082637E">
        <w:t>HPSA</w:t>
      </w:r>
      <w:proofErr w:type="spellEnd"/>
      <w:r w:rsidRPr="0082637E">
        <w:t xml:space="preserve"> shortage area query</w:t>
      </w:r>
    </w:p>
    <w:p w:rsidR="00920A57" w:rsidRDefault="00920A57" w:rsidP="00920A57">
      <w:pPr>
        <w:widowControl w:val="0"/>
        <w:spacing w:after="120"/>
      </w:pPr>
      <w:r w:rsidRPr="00980D68">
        <w:t xml:space="preserve">Sets forth reference to </w:t>
      </w:r>
      <w:r>
        <w:t xml:space="preserve">the </w:t>
      </w:r>
      <w:proofErr w:type="spellStart"/>
      <w:r>
        <w:t>HRSA</w:t>
      </w:r>
      <w:proofErr w:type="spellEnd"/>
      <w:r>
        <w:t xml:space="preserve"> </w:t>
      </w:r>
      <w:proofErr w:type="spellStart"/>
      <w:r>
        <w:t>HPSA</w:t>
      </w:r>
      <w:proofErr w:type="spellEnd"/>
      <w:r>
        <w:t xml:space="preserve"> shortage </w:t>
      </w:r>
      <w:r w:rsidRPr="00980D68">
        <w:t>web page</w:t>
      </w:r>
      <w:r>
        <w:t xml:space="preserve"> query by state/county and by address; website references are</w:t>
      </w:r>
      <w:r w:rsidRPr="00980D68">
        <w:t xml:space="preserve"> unchanged from 201</w:t>
      </w:r>
      <w:r>
        <w:t>7</w:t>
      </w:r>
      <w:r w:rsidRPr="00980D68">
        <w:t>.</w:t>
      </w:r>
    </w:p>
    <w:p w:rsidR="00920A57" w:rsidRDefault="00920A57" w:rsidP="00920A57">
      <w:pPr>
        <w:spacing w:after="120"/>
        <w:ind w:left="360"/>
      </w:pPr>
      <w:r w:rsidRPr="0082637E">
        <w:t xml:space="preserve">Incident </w:t>
      </w:r>
      <w:proofErr w:type="gramStart"/>
      <w:r w:rsidRPr="0082637E">
        <w:t>To</w:t>
      </w:r>
      <w:proofErr w:type="gramEnd"/>
      <w:r w:rsidRPr="0082637E">
        <w:t xml:space="preserve"> Codes</w:t>
      </w:r>
    </w:p>
    <w:p w:rsidR="00920A57" w:rsidRDefault="00920A57" w:rsidP="00920A57">
      <w:pPr>
        <w:widowControl w:val="0"/>
        <w:spacing w:after="120"/>
      </w:pPr>
      <w:proofErr w:type="gramStart"/>
      <w:r w:rsidRPr="00C62C66">
        <w:t xml:space="preserve">Updated to </w:t>
      </w:r>
      <w:r>
        <w:t>2018</w:t>
      </w:r>
      <w:r w:rsidRPr="00C62C66">
        <w:t>.</w:t>
      </w:r>
      <w:proofErr w:type="gramEnd"/>
    </w:p>
    <w:p w:rsidR="00920A57" w:rsidRDefault="00920A57" w:rsidP="00920A57">
      <w:pPr>
        <w:spacing w:after="120"/>
        <w:ind w:left="360"/>
      </w:pPr>
      <w:proofErr w:type="spellStart"/>
      <w:r w:rsidRPr="0082637E">
        <w:t>Medi</w:t>
      </w:r>
      <w:proofErr w:type="spellEnd"/>
      <w:r w:rsidRPr="0082637E">
        <w:t xml:space="preserve">-Cal Rates – </w:t>
      </w:r>
      <w:proofErr w:type="spellStart"/>
      <w:r w:rsidRPr="0082637E">
        <w:t>DHCS</w:t>
      </w:r>
      <w:proofErr w:type="spellEnd"/>
    </w:p>
    <w:p w:rsidR="00920A57" w:rsidRDefault="00920A57" w:rsidP="00920A57">
      <w:pPr>
        <w:widowControl w:val="0"/>
        <w:spacing w:after="120"/>
      </w:pPr>
      <w:r>
        <w:t xml:space="preserve">For services rendered on or after December 15, 2017, use: </w:t>
      </w:r>
      <w:proofErr w:type="spellStart"/>
      <w:r>
        <w:t>Medi</w:t>
      </w:r>
      <w:proofErr w:type="spellEnd"/>
      <w:r>
        <w:t xml:space="preserve">-Cal Rates file – Updated 12/15/2017. [The 12/15/2017 </w:t>
      </w:r>
      <w:proofErr w:type="spellStart"/>
      <w:r>
        <w:t>Medi</w:t>
      </w:r>
      <w:proofErr w:type="spellEnd"/>
      <w:r>
        <w:t xml:space="preserve">-Cal rates file will be available on approximately December 16, 2017.] The </w:t>
      </w:r>
      <w:proofErr w:type="spellStart"/>
      <w:r>
        <w:t>Medi</w:t>
      </w:r>
      <w:proofErr w:type="spellEnd"/>
      <w:r>
        <w:t xml:space="preserve">-Cal rates file will be updated monthly by Administrative Director’s posting order. </w:t>
      </w:r>
      <w:proofErr w:type="spellStart"/>
      <w:r>
        <w:t>Medi</w:t>
      </w:r>
      <w:proofErr w:type="spellEnd"/>
      <w:r>
        <w:t>-Cal rates are updated as of the 15</w:t>
      </w:r>
      <w:r w:rsidRPr="002E2B34">
        <w:rPr>
          <w:vertAlign w:val="superscript"/>
        </w:rPr>
        <w:t>th</w:t>
      </w:r>
      <w:r>
        <w:t xml:space="preserve"> of each month, posted to the </w:t>
      </w:r>
      <w:proofErr w:type="spellStart"/>
      <w:r>
        <w:t>Medi</w:t>
      </w:r>
      <w:proofErr w:type="spellEnd"/>
      <w:r>
        <w:t>-Cal website on the 16</w:t>
      </w:r>
      <w:r w:rsidRPr="002E2B34">
        <w:rPr>
          <w:vertAlign w:val="superscript"/>
        </w:rPr>
        <w:t>th</w:t>
      </w:r>
      <w:r>
        <w:t xml:space="preserve"> of each month, and posted to the </w:t>
      </w:r>
      <w:proofErr w:type="spellStart"/>
      <w:r>
        <w:t>DWC</w:t>
      </w:r>
      <w:proofErr w:type="spellEnd"/>
      <w:r>
        <w:t xml:space="preserve"> website as soon as feasible.</w:t>
      </w:r>
    </w:p>
    <w:p w:rsidR="00920A57" w:rsidRPr="0082637E" w:rsidRDefault="00920A57" w:rsidP="00920A57">
      <w:pPr>
        <w:widowControl w:val="0"/>
        <w:spacing w:after="120"/>
        <w:ind w:right="33"/>
      </w:pPr>
      <w:r w:rsidRPr="0082637E">
        <w:t xml:space="preserve">Ophthalmology Procedure </w:t>
      </w:r>
      <w:proofErr w:type="spellStart"/>
      <w:r w:rsidRPr="0082637E">
        <w:t>CPT</w:t>
      </w:r>
      <w:proofErr w:type="spellEnd"/>
      <w:r w:rsidRPr="0082637E">
        <w:t xml:space="preserve"> codes subject to the </w:t>
      </w:r>
      <w:proofErr w:type="spellStart"/>
      <w:r w:rsidRPr="0082637E">
        <w:t>MPPR</w:t>
      </w:r>
      <w:proofErr w:type="spellEnd"/>
    </w:p>
    <w:p w:rsidR="00920A57" w:rsidRDefault="00920A57" w:rsidP="00920A57">
      <w:pPr>
        <w:spacing w:after="120"/>
        <w:ind w:left="360"/>
      </w:pPr>
      <w:proofErr w:type="gramStart"/>
      <w:r w:rsidRPr="00C62C66">
        <w:t xml:space="preserve">Updated to </w:t>
      </w:r>
      <w:r>
        <w:t>2018</w:t>
      </w:r>
      <w:r w:rsidRPr="00C62C66">
        <w:t>.</w:t>
      </w:r>
      <w:proofErr w:type="gramEnd"/>
    </w:p>
    <w:p w:rsidR="00920A57" w:rsidRPr="0082637E" w:rsidRDefault="00920A57" w:rsidP="00920A57">
      <w:pPr>
        <w:widowControl w:val="0"/>
        <w:spacing w:after="120"/>
        <w:ind w:right="33"/>
      </w:pPr>
      <w:r w:rsidRPr="0082637E">
        <w:t>Physical Therapy Multiple Procedure Payment Reduction: “Always Therapy” Codes; and Acupuncture and Chiropractic Codes</w:t>
      </w:r>
    </w:p>
    <w:p w:rsidR="00920A57" w:rsidRDefault="00920A57" w:rsidP="00920A57">
      <w:pPr>
        <w:widowControl w:val="0"/>
        <w:spacing w:after="120"/>
      </w:pPr>
      <w:r w:rsidRPr="00C62C66">
        <w:t xml:space="preserve">Updated to </w:t>
      </w:r>
      <w:r>
        <w:t>2018 Medicare list of “Always Therapy Codes”</w:t>
      </w:r>
      <w:r w:rsidRPr="00C62C66">
        <w:t>.</w:t>
      </w:r>
      <w:r>
        <w:t xml:space="preserve"> In addition, retain the acupuncture codes and chiropractic manipulation codes, which are unchanged from 2017.</w:t>
      </w:r>
    </w:p>
    <w:p w:rsidR="00920A57" w:rsidRDefault="00920A57" w:rsidP="00920A57">
      <w:pPr>
        <w:spacing w:after="360"/>
        <w:ind w:left="360"/>
      </w:pPr>
      <w:r w:rsidRPr="0082637E">
        <w:lastRenderedPageBreak/>
        <w:t>Physician Time</w:t>
      </w:r>
    </w:p>
    <w:p w:rsidR="00920A57" w:rsidRDefault="00920A57" w:rsidP="00920A57">
      <w:pPr>
        <w:widowControl w:val="0"/>
        <w:spacing w:after="360"/>
      </w:pPr>
      <w:r w:rsidRPr="00C62C66">
        <w:t xml:space="preserve">Updated to </w:t>
      </w:r>
      <w:r>
        <w:t>2018</w:t>
      </w:r>
    </w:p>
    <w:p w:rsidR="00920A57" w:rsidRPr="00D03492" w:rsidRDefault="00920A57" w:rsidP="00920A57">
      <w:pPr>
        <w:widowControl w:val="0"/>
        <w:spacing w:after="360"/>
        <w:ind w:right="33"/>
      </w:pPr>
      <w:r w:rsidRPr="00D03492">
        <w:t xml:space="preserve">Statewide </w:t>
      </w:r>
      <w:proofErr w:type="spellStart"/>
      <w:r w:rsidRPr="00D03492">
        <w:t>GAFs</w:t>
      </w:r>
      <w:proofErr w:type="spellEnd"/>
      <w:r w:rsidRPr="00D03492">
        <w:t xml:space="preserve"> (Other than anesthesia)</w:t>
      </w:r>
    </w:p>
    <w:p w:rsidR="00920A57" w:rsidRDefault="00920A57" w:rsidP="00920A57">
      <w:pPr>
        <w:widowControl w:val="0"/>
        <w:spacing w:after="360"/>
      </w:pPr>
      <w:r>
        <w:t xml:space="preserve">The statewide </w:t>
      </w:r>
      <w:proofErr w:type="spellStart"/>
      <w:r>
        <w:t>GAFs</w:t>
      </w:r>
      <w:proofErr w:type="spellEnd"/>
      <w:r>
        <w:t xml:space="preserve"> were updated to reflect the transition to payment localities based on Metropolitan Statistical Areas and 2015 </w:t>
      </w:r>
      <w:proofErr w:type="spellStart"/>
      <w:r>
        <w:t>WCIS</w:t>
      </w:r>
      <w:proofErr w:type="spellEnd"/>
      <w:r>
        <w:t xml:space="preserve"> data.</w:t>
      </w:r>
    </w:p>
    <w:p w:rsidR="00920A57" w:rsidRDefault="00920A57" w:rsidP="00920A57">
      <w:pPr>
        <w:widowControl w:val="0"/>
        <w:spacing w:after="360"/>
      </w:pPr>
      <w:r>
        <w:t xml:space="preserve">Average Statewide Work GAF: </w:t>
      </w:r>
      <w:r w:rsidRPr="00170D63">
        <w:t>1.041</w:t>
      </w:r>
    </w:p>
    <w:p w:rsidR="00920A57" w:rsidRDefault="00920A57" w:rsidP="00920A57">
      <w:pPr>
        <w:widowControl w:val="0"/>
        <w:spacing w:after="360"/>
      </w:pPr>
      <w:r>
        <w:t xml:space="preserve">Average Statewide Practice Expense GAF: </w:t>
      </w:r>
      <w:r w:rsidRPr="00170D63">
        <w:t>1.166</w:t>
      </w:r>
    </w:p>
    <w:p w:rsidR="00920A57" w:rsidRDefault="00920A57" w:rsidP="00920A57">
      <w:pPr>
        <w:widowControl w:val="0"/>
        <w:spacing w:after="360"/>
      </w:pPr>
      <w:r>
        <w:t xml:space="preserve">Average Statewide Malpractice Expense GAF: </w:t>
      </w:r>
      <w:r w:rsidRPr="00170D63">
        <w:t>0.605</w:t>
      </w:r>
    </w:p>
    <w:p w:rsidR="00920A57" w:rsidRDefault="00920A57" w:rsidP="00920A57">
      <w:pPr>
        <w:widowControl w:val="0"/>
        <w:spacing w:after="360"/>
      </w:pPr>
      <w:r>
        <w:t>[See detailed explanation set forth below this table.]</w:t>
      </w:r>
    </w:p>
    <w:p w:rsidR="00920A57" w:rsidRPr="001370CF" w:rsidRDefault="00920A57" w:rsidP="00920A57">
      <w:pPr>
        <w:widowControl w:val="0"/>
        <w:spacing w:after="360"/>
        <w:ind w:right="33"/>
      </w:pPr>
      <w:r w:rsidRPr="001370CF">
        <w:t>Statewide GAF (Anesthesia)</w:t>
      </w:r>
    </w:p>
    <w:p w:rsidR="00920A57" w:rsidRDefault="00920A57" w:rsidP="00920A57">
      <w:pPr>
        <w:widowControl w:val="0"/>
        <w:spacing w:after="360"/>
      </w:pPr>
      <w:r>
        <w:t xml:space="preserve">The statewide GAF was updated to reflect the transition to payment localities based on Metropolitan Statistical Areas and 2015 </w:t>
      </w:r>
      <w:proofErr w:type="spellStart"/>
      <w:r>
        <w:t>WCIS</w:t>
      </w:r>
      <w:proofErr w:type="spellEnd"/>
      <w:r>
        <w:t xml:space="preserve"> data.</w:t>
      </w:r>
    </w:p>
    <w:p w:rsidR="00920A57" w:rsidRDefault="00920A57" w:rsidP="00920A57">
      <w:pPr>
        <w:widowControl w:val="0"/>
        <w:spacing w:after="360"/>
      </w:pPr>
      <w:r>
        <w:t xml:space="preserve">Average Statewide Anesthesia GAF: </w:t>
      </w:r>
      <w:r w:rsidRPr="00170D63">
        <w:t>1.034</w:t>
      </w:r>
    </w:p>
    <w:p w:rsidR="00920A57" w:rsidRDefault="00920A57" w:rsidP="00920A57">
      <w:pPr>
        <w:widowControl w:val="0"/>
        <w:spacing w:after="360"/>
      </w:pPr>
      <w:r>
        <w:t>[See detailed explanation set forth below this table.]</w:t>
      </w:r>
    </w:p>
    <w:p w:rsidR="00920A57" w:rsidRPr="0082637E" w:rsidRDefault="00920A57" w:rsidP="00920A57">
      <w:pPr>
        <w:widowControl w:val="0"/>
        <w:spacing w:after="360"/>
        <w:ind w:right="33"/>
      </w:pPr>
      <w:r w:rsidRPr="0082637E">
        <w:t>Splints and Casting Supplies</w:t>
      </w:r>
    </w:p>
    <w:p w:rsidR="00920A57" w:rsidRDefault="00920A57" w:rsidP="00920A57">
      <w:pPr>
        <w:widowControl w:val="0"/>
        <w:spacing w:after="360"/>
      </w:pPr>
      <w:r>
        <w:t xml:space="preserve">Sets </w:t>
      </w:r>
      <w:r w:rsidRPr="00765166">
        <w:t xml:space="preserve">forth reference to the </w:t>
      </w:r>
      <w:r>
        <w:t>Durable Medical Equipment, Prosthetics, Orthotics, Supplies fee schedule applicable to the date of service</w:t>
      </w:r>
      <w:r w:rsidRPr="00765166">
        <w:t xml:space="preserve">, </w:t>
      </w:r>
      <w:r>
        <w:t>reference is</w:t>
      </w:r>
      <w:r w:rsidRPr="00765166">
        <w:t xml:space="preserve"> unchanged from 201</w:t>
      </w:r>
      <w:r>
        <w:t>7</w:t>
      </w:r>
      <w:r w:rsidRPr="00765166">
        <w:t>.</w:t>
      </w:r>
    </w:p>
    <w:p w:rsidR="00920A57" w:rsidRPr="0082637E" w:rsidRDefault="00920A57" w:rsidP="00920A57">
      <w:pPr>
        <w:widowControl w:val="0"/>
        <w:spacing w:after="360"/>
        <w:ind w:right="33"/>
      </w:pPr>
      <w:r w:rsidRPr="0082637E">
        <w:t>The 1995 Documentation Guidelines for Evaluation &amp; Management Services</w:t>
      </w:r>
    </w:p>
    <w:p w:rsidR="00920A57" w:rsidRDefault="00920A57" w:rsidP="00920A57">
      <w:pPr>
        <w:widowControl w:val="0"/>
        <w:spacing w:after="360"/>
      </w:pPr>
      <w:r w:rsidRPr="00B0327D">
        <w:t xml:space="preserve">Sets forth reference to </w:t>
      </w:r>
      <w:r>
        <w:t>the 1995 Documentation Guidelines</w:t>
      </w:r>
      <w:r w:rsidRPr="00B0327D">
        <w:t xml:space="preserve"> web page, which is unchanged from 201</w:t>
      </w:r>
      <w:r>
        <w:t>7</w:t>
      </w:r>
      <w:r w:rsidRPr="00B0327D">
        <w:t>.</w:t>
      </w:r>
    </w:p>
    <w:p w:rsidR="00920A57" w:rsidRDefault="00920A57" w:rsidP="00920A57">
      <w:pPr>
        <w:spacing w:after="360"/>
        <w:ind w:left="360"/>
      </w:pPr>
      <w:r w:rsidRPr="0082637E">
        <w:t>The 1997 Documentation Guidelines for Evaluation and Management Services</w:t>
      </w:r>
    </w:p>
    <w:p w:rsidR="00920A57" w:rsidRPr="00B05413" w:rsidRDefault="00920A57" w:rsidP="00920A57">
      <w:pPr>
        <w:spacing w:after="360"/>
        <w:ind w:left="360"/>
        <w:rPr>
          <w:b/>
          <w:szCs w:val="20"/>
        </w:rPr>
      </w:pPr>
      <w:r w:rsidRPr="00B0327D">
        <w:t>Sets forth reference to the 199</w:t>
      </w:r>
      <w:r>
        <w:t>7</w:t>
      </w:r>
      <w:r w:rsidRPr="00B0327D">
        <w:t xml:space="preserve"> Documentation Guidelines web page, which is unchanged from 201</w:t>
      </w:r>
      <w:r>
        <w:t>7</w:t>
      </w:r>
      <w:r w:rsidRPr="00B0327D">
        <w:t>.</w:t>
      </w:r>
    </w:p>
    <w:p w:rsidR="004D797B" w:rsidRPr="0030592F" w:rsidRDefault="004D797B" w:rsidP="008C5E68">
      <w:pPr>
        <w:pStyle w:val="Heading2"/>
        <w:spacing w:after="240"/>
      </w:pPr>
      <w:r w:rsidRPr="0030592F">
        <w:lastRenderedPageBreak/>
        <w:t>Adjustment Factors</w:t>
      </w:r>
      <w:r w:rsidR="00307EAC" w:rsidRPr="0030592F">
        <w:t xml:space="preserve"> – Updating the Conversion Factors</w:t>
      </w:r>
      <w:r w:rsidR="00383961" w:rsidRPr="0030592F">
        <w:t xml:space="preserve"> and Statewide Geographic Adjustment Factors (</w:t>
      </w:r>
      <w:proofErr w:type="spellStart"/>
      <w:r w:rsidR="00383961" w:rsidRPr="0030592F">
        <w:t>GAFs</w:t>
      </w:r>
      <w:proofErr w:type="spellEnd"/>
      <w:r w:rsidR="00383961" w:rsidRPr="0030592F">
        <w:t>)</w:t>
      </w:r>
    </w:p>
    <w:p w:rsidR="002E5FF7" w:rsidRPr="00EE6F58" w:rsidRDefault="002E5FF7" w:rsidP="0089218E">
      <w:pPr>
        <w:pStyle w:val="LowerAlphaList"/>
        <w:numPr>
          <w:ilvl w:val="1"/>
          <w:numId w:val="41"/>
        </w:numPr>
        <w:spacing w:after="240"/>
        <w:ind w:left="1080"/>
        <w:outlineLvl w:val="9"/>
      </w:pPr>
      <w:r w:rsidRPr="007109A8">
        <w:t>The 201</w:t>
      </w:r>
      <w:r w:rsidR="008726A2">
        <w:t>8</w:t>
      </w:r>
      <w:r w:rsidRPr="007109A8">
        <w:t xml:space="preserve"> annual increase in the Medicare Economic Index (MEI) is 1.</w:t>
      </w:r>
      <w:r w:rsidR="008726A2">
        <w:t>4</w:t>
      </w:r>
      <w:r w:rsidRPr="007109A8">
        <w:t>%. (CY 201</w:t>
      </w:r>
      <w:r w:rsidR="008726A2">
        <w:t>8</w:t>
      </w:r>
      <w:r w:rsidRPr="007109A8">
        <w:t xml:space="preserve"> Medicare Physician Fee Schedule Final Rule, CMS-16</w:t>
      </w:r>
      <w:r w:rsidR="008726A2">
        <w:t>76</w:t>
      </w:r>
      <w:r w:rsidRPr="007109A8">
        <w:t>-F (</w:t>
      </w:r>
      <w:r w:rsidR="008726A2">
        <w:t>82</w:t>
      </w:r>
      <w:r w:rsidRPr="007109A8">
        <w:t xml:space="preserve"> Fed. Reg. </w:t>
      </w:r>
      <w:r w:rsidR="008726A2">
        <w:t>52976</w:t>
      </w:r>
      <w:r w:rsidRPr="007109A8">
        <w:t>.))  The MEI is an input price index that accounts for annual changes in the various resources involved in providing physician services.</w:t>
      </w:r>
    </w:p>
    <w:p w:rsidR="00C47979" w:rsidRDefault="002529B4" w:rsidP="0089218E">
      <w:pPr>
        <w:pStyle w:val="LowerAlphaList"/>
        <w:numPr>
          <w:ilvl w:val="1"/>
          <w:numId w:val="41"/>
        </w:numPr>
        <w:spacing w:after="240"/>
        <w:ind w:left="1080"/>
        <w:outlineLvl w:val="9"/>
      </w:pPr>
      <w:r>
        <w:t>The</w:t>
      </w:r>
      <w:r w:rsidR="00C47979" w:rsidRPr="00C47979">
        <w:t xml:space="preserve"> 201</w:t>
      </w:r>
      <w:r w:rsidR="008726A2">
        <w:t>8</w:t>
      </w:r>
      <w:r w:rsidR="00C47979" w:rsidRPr="00C47979">
        <w:t xml:space="preserve"> Relative Value Scale (RVS) adjustment factors:</w:t>
      </w:r>
    </w:p>
    <w:p w:rsidR="00192785" w:rsidRDefault="002D181D" w:rsidP="008C5E68">
      <w:pPr>
        <w:pStyle w:val="NumberList"/>
        <w:numPr>
          <w:ilvl w:val="0"/>
          <w:numId w:val="43"/>
        </w:numPr>
        <w:spacing w:after="240"/>
      </w:pPr>
      <w:r w:rsidRPr="008C5E68">
        <w:t>Th</w:t>
      </w:r>
      <w:r w:rsidR="00415990" w:rsidRPr="008C5E68">
        <w:t xml:space="preserve">e RVS </w:t>
      </w:r>
      <w:r w:rsidR="00415990">
        <w:t xml:space="preserve">adjustment factor for </w:t>
      </w:r>
      <w:r w:rsidR="00415990" w:rsidRPr="007110C4">
        <w:t>all services</w:t>
      </w:r>
      <w:r w:rsidR="00415990">
        <w:t xml:space="preserve"> </w:t>
      </w:r>
      <w:r w:rsidR="0089218E">
        <w:t>other than anesthesia for</w:t>
      </w:r>
    </w:p>
    <w:p w:rsidR="002D181D" w:rsidRDefault="002D181D" w:rsidP="008C5E68">
      <w:pPr>
        <w:pStyle w:val="Default"/>
        <w:spacing w:after="240"/>
        <w:ind w:left="1080"/>
        <w:rPr>
          <w:szCs w:val="20"/>
        </w:rPr>
      </w:pPr>
      <w:r>
        <w:rPr>
          <w:szCs w:val="20"/>
        </w:rPr>
        <w:t>201</w:t>
      </w:r>
      <w:r w:rsidR="008726A2">
        <w:rPr>
          <w:szCs w:val="20"/>
        </w:rPr>
        <w:t>8</w:t>
      </w:r>
      <w:r>
        <w:rPr>
          <w:szCs w:val="20"/>
        </w:rPr>
        <w:t xml:space="preserve"> is the Medicare 201</w:t>
      </w:r>
      <w:r w:rsidR="008726A2">
        <w:rPr>
          <w:szCs w:val="20"/>
        </w:rPr>
        <w:t>8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RVU</w:t>
      </w:r>
      <w:proofErr w:type="spellEnd"/>
      <w:r>
        <w:rPr>
          <w:szCs w:val="20"/>
        </w:rPr>
        <w:t xml:space="preserve"> budget neutrality </w:t>
      </w:r>
      <w:r w:rsidR="008726A2">
        <w:rPr>
          <w:szCs w:val="20"/>
        </w:rPr>
        <w:t>adjustment</w:t>
      </w:r>
      <w:r>
        <w:rPr>
          <w:szCs w:val="20"/>
        </w:rPr>
        <w:t xml:space="preserve"> (</w:t>
      </w:r>
      <w:r w:rsidR="008726A2" w:rsidRPr="008726A2">
        <w:t>0.9990</w:t>
      </w:r>
      <w:r>
        <w:rPr>
          <w:szCs w:val="20"/>
        </w:rPr>
        <w:t>)</w:t>
      </w:r>
      <w:r w:rsidR="008726A2">
        <w:rPr>
          <w:szCs w:val="20"/>
        </w:rPr>
        <w:t xml:space="preserve"> </w:t>
      </w:r>
      <w:r>
        <w:rPr>
          <w:szCs w:val="20"/>
        </w:rPr>
        <w:t>(CY 201</w:t>
      </w:r>
      <w:r w:rsidR="008726A2">
        <w:rPr>
          <w:szCs w:val="20"/>
        </w:rPr>
        <w:t>8</w:t>
      </w:r>
      <w:r>
        <w:rPr>
          <w:szCs w:val="20"/>
        </w:rPr>
        <w:t xml:space="preserve"> Medicare Physician Fee Schedule Final Rule, CMS-</w:t>
      </w:r>
      <w:r w:rsidRPr="00395B05">
        <w:rPr>
          <w:szCs w:val="20"/>
        </w:rPr>
        <w:t>16</w:t>
      </w:r>
      <w:r w:rsidR="008726A2">
        <w:rPr>
          <w:szCs w:val="20"/>
        </w:rPr>
        <w:t>76</w:t>
      </w:r>
      <w:r w:rsidRPr="00395B05">
        <w:rPr>
          <w:szCs w:val="20"/>
        </w:rPr>
        <w:t>-F</w:t>
      </w:r>
      <w:r w:rsidR="009D2522">
        <w:rPr>
          <w:szCs w:val="20"/>
        </w:rPr>
        <w:t xml:space="preserve">, </w:t>
      </w:r>
      <w:proofErr w:type="gramStart"/>
      <w:r w:rsidR="009D2522">
        <w:rPr>
          <w:szCs w:val="20"/>
        </w:rPr>
        <w:t>Table</w:t>
      </w:r>
      <w:proofErr w:type="gramEnd"/>
      <w:r w:rsidR="009D2522">
        <w:rPr>
          <w:szCs w:val="20"/>
        </w:rPr>
        <w:t xml:space="preserve"> </w:t>
      </w:r>
      <w:r w:rsidR="008726A2">
        <w:rPr>
          <w:szCs w:val="20"/>
        </w:rPr>
        <w:t>48</w:t>
      </w:r>
      <w:r w:rsidR="00DE5F46">
        <w:rPr>
          <w:szCs w:val="20"/>
        </w:rPr>
        <w:t>)</w:t>
      </w:r>
      <w:r>
        <w:rPr>
          <w:szCs w:val="20"/>
        </w:rPr>
        <w:t>.</w:t>
      </w:r>
    </w:p>
    <w:p w:rsidR="00192785" w:rsidRDefault="002D181D" w:rsidP="008C5E68">
      <w:pPr>
        <w:pStyle w:val="NumberList"/>
        <w:numPr>
          <w:ilvl w:val="0"/>
          <w:numId w:val="43"/>
        </w:numPr>
        <w:spacing w:after="240"/>
      </w:pPr>
      <w:r>
        <w:t xml:space="preserve">The </w:t>
      </w:r>
      <w:r w:rsidRPr="008C5E68">
        <w:t>RV</w:t>
      </w:r>
      <w:r>
        <w:t xml:space="preserve">S adjustment factor </w:t>
      </w:r>
      <w:r w:rsidR="00192785">
        <w:t xml:space="preserve">for </w:t>
      </w:r>
      <w:r w:rsidR="00192785" w:rsidRPr="00192785">
        <w:t xml:space="preserve">anesthesia </w:t>
      </w:r>
      <w:r>
        <w:t>for 201</w:t>
      </w:r>
      <w:r w:rsidR="008726A2">
        <w:t>8</w:t>
      </w:r>
      <w:r>
        <w:t xml:space="preserve"> is the product of the </w:t>
      </w:r>
    </w:p>
    <w:p w:rsidR="002D181D" w:rsidRDefault="002D181D" w:rsidP="008C5E68">
      <w:pPr>
        <w:pStyle w:val="Default"/>
        <w:spacing w:after="240"/>
        <w:ind w:left="1020"/>
        <w:rPr>
          <w:szCs w:val="20"/>
        </w:rPr>
      </w:pPr>
      <w:r>
        <w:rPr>
          <w:szCs w:val="20"/>
        </w:rPr>
        <w:t>Medicare 201</w:t>
      </w:r>
      <w:r w:rsidR="008726A2">
        <w:rPr>
          <w:szCs w:val="20"/>
        </w:rPr>
        <w:t>8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RVU</w:t>
      </w:r>
      <w:proofErr w:type="spellEnd"/>
      <w:r>
        <w:rPr>
          <w:szCs w:val="20"/>
        </w:rPr>
        <w:t xml:space="preserve"> budget neutrality </w:t>
      </w:r>
      <w:r w:rsidR="008726A2">
        <w:rPr>
          <w:szCs w:val="20"/>
        </w:rPr>
        <w:t>adjustment</w:t>
      </w:r>
      <w:r>
        <w:rPr>
          <w:szCs w:val="20"/>
        </w:rPr>
        <w:t xml:space="preserve"> (</w:t>
      </w:r>
      <w:proofErr w:type="gramStart"/>
      <w:r w:rsidR="008726A2" w:rsidRPr="008726A2">
        <w:t>0.9990</w:t>
      </w:r>
      <w:r>
        <w:rPr>
          <w:szCs w:val="20"/>
        </w:rPr>
        <w:t>),</w:t>
      </w:r>
      <w:proofErr w:type="gramEnd"/>
      <w:r>
        <w:rPr>
          <w:szCs w:val="20"/>
        </w:rPr>
        <w:t xml:space="preserve"> and the 201</w:t>
      </w:r>
      <w:r w:rsidR="008726A2">
        <w:rPr>
          <w:szCs w:val="20"/>
        </w:rPr>
        <w:t>8</w:t>
      </w:r>
      <w:r>
        <w:rPr>
          <w:szCs w:val="20"/>
        </w:rPr>
        <w:t xml:space="preserve"> </w:t>
      </w:r>
      <w:r w:rsidR="008726A2">
        <w:rPr>
          <w:szCs w:val="20"/>
        </w:rPr>
        <w:t>anesthesia practice expense and malpractice adjustment</w:t>
      </w:r>
      <w:r>
        <w:rPr>
          <w:szCs w:val="20"/>
        </w:rPr>
        <w:t xml:space="preserve"> (</w:t>
      </w:r>
      <w:r w:rsidR="008726A2" w:rsidRPr="008726A2">
        <w:t>1.0034</w:t>
      </w:r>
      <w:r>
        <w:rPr>
          <w:szCs w:val="20"/>
        </w:rPr>
        <w:t xml:space="preserve">). </w:t>
      </w:r>
      <w:proofErr w:type="gramStart"/>
      <w:r>
        <w:rPr>
          <w:szCs w:val="20"/>
        </w:rPr>
        <w:t>(CY 201</w:t>
      </w:r>
      <w:r w:rsidR="008726A2">
        <w:rPr>
          <w:szCs w:val="20"/>
        </w:rPr>
        <w:t>8</w:t>
      </w:r>
      <w:r>
        <w:rPr>
          <w:szCs w:val="20"/>
        </w:rPr>
        <w:t xml:space="preserve"> Medicare Physician Fee Schedule Final Rule, CMS-</w:t>
      </w:r>
      <w:r w:rsidRPr="00395B05">
        <w:rPr>
          <w:szCs w:val="20"/>
        </w:rPr>
        <w:t>16</w:t>
      </w:r>
      <w:r w:rsidR="008726A2">
        <w:rPr>
          <w:szCs w:val="20"/>
        </w:rPr>
        <w:t>76</w:t>
      </w:r>
      <w:r w:rsidRPr="00395B05">
        <w:rPr>
          <w:szCs w:val="20"/>
        </w:rPr>
        <w:t>-F</w:t>
      </w:r>
      <w:r w:rsidR="00DE5F46">
        <w:rPr>
          <w:szCs w:val="20"/>
        </w:rPr>
        <w:t xml:space="preserve">, Tables </w:t>
      </w:r>
      <w:r w:rsidR="008726A2">
        <w:rPr>
          <w:szCs w:val="20"/>
        </w:rPr>
        <w:t>49).</w:t>
      </w:r>
      <w:proofErr w:type="gramEnd"/>
      <w:r w:rsidR="008726A2">
        <w:rPr>
          <w:szCs w:val="20"/>
        </w:rPr>
        <w:t xml:space="preserve"> </w:t>
      </w:r>
      <w:r>
        <w:rPr>
          <w:szCs w:val="20"/>
        </w:rPr>
        <w:t xml:space="preserve">The RVS adjustment factor for anesthesia </w:t>
      </w:r>
      <w:r w:rsidR="00A150C6">
        <w:rPr>
          <w:szCs w:val="20"/>
        </w:rPr>
        <w:t>is</w:t>
      </w:r>
      <w:r>
        <w:rPr>
          <w:szCs w:val="20"/>
        </w:rPr>
        <w:t xml:space="preserve"> (</w:t>
      </w:r>
      <w:r w:rsidR="008726A2" w:rsidRPr="008726A2">
        <w:t>0.9990</w:t>
      </w:r>
      <w:r w:rsidR="008726A2">
        <w:t xml:space="preserve"> </w:t>
      </w:r>
      <w:r>
        <w:rPr>
          <w:szCs w:val="20"/>
        </w:rPr>
        <w:t>x</w:t>
      </w:r>
      <w:r w:rsidR="005F6AE6">
        <w:rPr>
          <w:szCs w:val="20"/>
        </w:rPr>
        <w:t xml:space="preserve"> </w:t>
      </w:r>
      <w:r w:rsidR="008726A2" w:rsidRPr="008726A2">
        <w:t>1.0034</w:t>
      </w:r>
      <w:r>
        <w:rPr>
          <w:szCs w:val="20"/>
        </w:rPr>
        <w:t xml:space="preserve">), which equals to </w:t>
      </w:r>
      <w:r w:rsidR="008726A2">
        <w:rPr>
          <w:szCs w:val="20"/>
        </w:rPr>
        <w:t>1.002</w:t>
      </w:r>
      <w:r w:rsidR="00621E28">
        <w:rPr>
          <w:szCs w:val="20"/>
        </w:rPr>
        <w:t>4</w:t>
      </w:r>
      <w:r>
        <w:rPr>
          <w:szCs w:val="20"/>
        </w:rPr>
        <w:t>.</w:t>
      </w:r>
    </w:p>
    <w:p w:rsidR="005A4702" w:rsidRDefault="00655D35" w:rsidP="008C5E68">
      <w:pPr>
        <w:pStyle w:val="NumberList"/>
        <w:numPr>
          <w:ilvl w:val="0"/>
          <w:numId w:val="43"/>
        </w:numPr>
        <w:spacing w:after="240"/>
      </w:pPr>
      <w:r>
        <w:t xml:space="preserve">The “Update Factor” </w:t>
      </w:r>
      <w:r w:rsidRPr="005C3A03">
        <w:t>of 0.5</w:t>
      </w:r>
      <w:r w:rsidR="00747F41" w:rsidRPr="005C3A03">
        <w:t xml:space="preserve">0 percent </w:t>
      </w:r>
      <w:r w:rsidR="007B58A2">
        <w:t>and</w:t>
      </w:r>
      <w:r w:rsidRPr="005C3A03">
        <w:t xml:space="preserve"> the CY </w:t>
      </w:r>
      <w:r w:rsidR="00FE5271" w:rsidRPr="005C3A03">
        <w:t>201</w:t>
      </w:r>
      <w:r w:rsidR="00951DCC">
        <w:t>8</w:t>
      </w:r>
      <w:r w:rsidRPr="005C3A03">
        <w:t xml:space="preserve"> Target </w:t>
      </w:r>
      <w:r w:rsidR="002D181D">
        <w:t>R</w:t>
      </w:r>
      <w:r w:rsidRPr="005C3A03">
        <w:t xml:space="preserve">ecapture Amount of </w:t>
      </w:r>
      <w:r w:rsidR="00747F41" w:rsidRPr="005C3A03">
        <w:t>-0.</w:t>
      </w:r>
      <w:r w:rsidR="00951DCC">
        <w:t>09</w:t>
      </w:r>
      <w:r w:rsidRPr="005C3A03">
        <w:t xml:space="preserve"> percent</w:t>
      </w:r>
      <w:r>
        <w:t xml:space="preserve"> in Table </w:t>
      </w:r>
      <w:r w:rsidR="00951DCC">
        <w:t>48</w:t>
      </w:r>
      <w:r>
        <w:t xml:space="preserve"> and Table </w:t>
      </w:r>
      <w:r w:rsidR="00951DCC">
        <w:t>49</w:t>
      </w:r>
      <w:r>
        <w:t xml:space="preserve"> of CY </w:t>
      </w:r>
      <w:r w:rsidR="00FE5271">
        <w:t>201</w:t>
      </w:r>
      <w:r w:rsidR="00951DCC">
        <w:t>8</w:t>
      </w:r>
      <w:r w:rsidR="002D181D">
        <w:t xml:space="preserve"> </w:t>
      </w:r>
      <w:r>
        <w:t>Medicare Physician Fee Schedule Final Rule, CMS-</w:t>
      </w:r>
      <w:r w:rsidR="00747F41" w:rsidRPr="00395B05">
        <w:t>16</w:t>
      </w:r>
      <w:r w:rsidR="00951DCC">
        <w:t>76</w:t>
      </w:r>
      <w:r w:rsidR="00747F41" w:rsidRPr="00395B05">
        <w:t>-F</w:t>
      </w:r>
      <w:r w:rsidR="00747F41">
        <w:t xml:space="preserve"> </w:t>
      </w:r>
      <w:r w:rsidR="002D181D">
        <w:t xml:space="preserve">are not applicable </w:t>
      </w:r>
      <w:r w:rsidR="00A43982">
        <w:t>because</w:t>
      </w:r>
      <w:r>
        <w:t xml:space="preserve"> Labor Code §5307.1(g</w:t>
      </w:r>
      <w:proofErr w:type="gramStart"/>
      <w:r>
        <w:t>)(</w:t>
      </w:r>
      <w:proofErr w:type="gramEnd"/>
      <w:r>
        <w:t xml:space="preserve">1)(A)(iii) specifies that the </w:t>
      </w:r>
      <w:r w:rsidR="00A43982">
        <w:t xml:space="preserve">physician fee schedule </w:t>
      </w:r>
      <w:r>
        <w:t>updates are to be based upon the Medicare Econom</w:t>
      </w:r>
      <w:r w:rsidR="002D181D">
        <w:t xml:space="preserve">ic Index and the relative value </w:t>
      </w:r>
      <w:r>
        <w:t>scale adjustment</w:t>
      </w:r>
      <w:r w:rsidR="00A43982">
        <w:t xml:space="preserve"> factors</w:t>
      </w:r>
      <w:r>
        <w:t>.</w:t>
      </w:r>
    </w:p>
    <w:p w:rsidR="005610B4" w:rsidRDefault="005610B4" w:rsidP="008C5E68">
      <w:pPr>
        <w:tabs>
          <w:tab w:val="num" w:pos="2160"/>
        </w:tabs>
        <w:spacing w:after="240"/>
        <w:ind w:left="720"/>
      </w:pPr>
    </w:p>
    <w:p w:rsidR="004D797B" w:rsidRPr="00B804C7" w:rsidRDefault="004D797B" w:rsidP="0089218E">
      <w:pPr>
        <w:pStyle w:val="LowerAlphaList"/>
        <w:numPr>
          <w:ilvl w:val="1"/>
          <w:numId w:val="41"/>
        </w:numPr>
        <w:spacing w:after="240"/>
        <w:ind w:left="1080"/>
        <w:outlineLvl w:val="9"/>
      </w:pPr>
      <w:r w:rsidRPr="00B804C7">
        <w:t>The cumulative adjustment</w:t>
      </w:r>
      <w:r w:rsidR="00120560" w:rsidRPr="00B804C7">
        <w:t xml:space="preserve"> factors applicable </w:t>
      </w:r>
      <w:r w:rsidRPr="00B804C7">
        <w:t>to the conversion factors (</w:t>
      </w:r>
      <w:proofErr w:type="spellStart"/>
      <w:r w:rsidRPr="00B804C7">
        <w:t>CFs</w:t>
      </w:r>
      <w:proofErr w:type="spellEnd"/>
      <w:r w:rsidRPr="00B804C7">
        <w:t xml:space="preserve">) between 2012 and </w:t>
      </w:r>
      <w:r w:rsidR="00FE5271">
        <w:t>201</w:t>
      </w:r>
      <w:r w:rsidR="00F92FC9">
        <w:t>8</w:t>
      </w:r>
      <w:r w:rsidRPr="00B804C7">
        <w:t xml:space="preserve"> are shown in Column </w:t>
      </w:r>
      <w:r w:rsidR="00120560" w:rsidRPr="00B804C7">
        <w:t>E</w:t>
      </w:r>
      <w:r w:rsidRPr="00B804C7">
        <w:t xml:space="preserve"> of Table 1 and are the products of the MEI and RVS adjustment factors for 201</w:t>
      </w:r>
      <w:r w:rsidR="00F92FC9">
        <w:t>7</w:t>
      </w:r>
      <w:r w:rsidRPr="00B804C7">
        <w:t xml:space="preserve"> and </w:t>
      </w:r>
      <w:r w:rsidR="00FE5271">
        <w:t>201</w:t>
      </w:r>
      <w:r w:rsidR="00F92FC9">
        <w:t>8</w:t>
      </w:r>
      <w:r w:rsidR="00B462E6">
        <w:t>.</w:t>
      </w:r>
    </w:p>
    <w:p w:rsidR="00FE0D75" w:rsidRPr="00FE0D75" w:rsidRDefault="00120560" w:rsidP="008C5E68">
      <w:pPr>
        <w:numPr>
          <w:ilvl w:val="1"/>
          <w:numId w:val="25"/>
        </w:numPr>
        <w:tabs>
          <w:tab w:val="num" w:pos="2160"/>
        </w:tabs>
        <w:spacing w:after="240"/>
      </w:pPr>
      <w:r w:rsidRPr="00515013">
        <w:rPr>
          <w:szCs w:val="20"/>
        </w:rPr>
        <w:t>The 201</w:t>
      </w:r>
      <w:r w:rsidR="00F92FC9">
        <w:rPr>
          <w:szCs w:val="20"/>
        </w:rPr>
        <w:t>7</w:t>
      </w:r>
      <w:r w:rsidRPr="00515013">
        <w:rPr>
          <w:szCs w:val="20"/>
        </w:rPr>
        <w:t xml:space="preserve"> </w:t>
      </w:r>
      <w:r w:rsidR="005E2BF5" w:rsidRPr="00515013">
        <w:t xml:space="preserve">cumulative </w:t>
      </w:r>
      <w:r w:rsidRPr="00515013">
        <w:rPr>
          <w:szCs w:val="20"/>
        </w:rPr>
        <w:t xml:space="preserve">adjustment factor for </w:t>
      </w:r>
      <w:r w:rsidRPr="008C3D54">
        <w:rPr>
          <w:szCs w:val="20"/>
        </w:rPr>
        <w:t xml:space="preserve">all services </w:t>
      </w:r>
      <w:r w:rsidR="00CA5533" w:rsidRPr="008C3D54">
        <w:rPr>
          <w:szCs w:val="20"/>
        </w:rPr>
        <w:t xml:space="preserve">other than </w:t>
      </w:r>
      <w:r w:rsidR="00585515" w:rsidRPr="008C3D54">
        <w:rPr>
          <w:szCs w:val="20"/>
        </w:rPr>
        <w:t>anesthesia</w:t>
      </w:r>
      <w:r w:rsidR="00CA5533">
        <w:rPr>
          <w:szCs w:val="20"/>
        </w:rPr>
        <w:t xml:space="preserve"> </w:t>
      </w:r>
      <w:r w:rsidRPr="00515013">
        <w:rPr>
          <w:szCs w:val="20"/>
        </w:rPr>
        <w:t xml:space="preserve">is </w:t>
      </w:r>
      <w:r w:rsidR="00F92FC9" w:rsidRPr="00F92FC9">
        <w:t>1.0933</w:t>
      </w:r>
      <w:r w:rsidRPr="00515013">
        <w:rPr>
          <w:szCs w:val="20"/>
        </w:rPr>
        <w:t xml:space="preserve">. </w:t>
      </w:r>
    </w:p>
    <w:p w:rsidR="00FE0D75" w:rsidRDefault="00120560" w:rsidP="008C5E68">
      <w:pPr>
        <w:tabs>
          <w:tab w:val="num" w:pos="2160"/>
        </w:tabs>
        <w:spacing w:after="120"/>
        <w:ind w:left="1080"/>
        <w:rPr>
          <w:szCs w:val="20"/>
        </w:rPr>
      </w:pPr>
      <w:r w:rsidRPr="00515013">
        <w:rPr>
          <w:szCs w:val="20"/>
        </w:rPr>
        <w:t xml:space="preserve">The </w:t>
      </w:r>
      <w:r w:rsidR="00FE5271" w:rsidRPr="00515013">
        <w:rPr>
          <w:szCs w:val="20"/>
        </w:rPr>
        <w:t>201</w:t>
      </w:r>
      <w:r w:rsidR="00F92FC9">
        <w:rPr>
          <w:szCs w:val="20"/>
        </w:rPr>
        <w:t>8</w:t>
      </w:r>
      <w:r w:rsidR="005E2BF5" w:rsidRPr="00515013">
        <w:rPr>
          <w:szCs w:val="20"/>
        </w:rPr>
        <w:t xml:space="preserve"> annual</w:t>
      </w:r>
      <w:r w:rsidRPr="00515013">
        <w:rPr>
          <w:szCs w:val="20"/>
        </w:rPr>
        <w:t xml:space="preserve"> adjustment factor is </w:t>
      </w:r>
      <w:r w:rsidR="00515013" w:rsidRPr="00515013">
        <w:rPr>
          <w:szCs w:val="20"/>
        </w:rPr>
        <w:t>1.01</w:t>
      </w:r>
      <w:r w:rsidR="00F92FC9">
        <w:rPr>
          <w:szCs w:val="20"/>
        </w:rPr>
        <w:t>4</w:t>
      </w:r>
      <w:r w:rsidR="00515013" w:rsidRPr="00515013">
        <w:rPr>
          <w:szCs w:val="20"/>
        </w:rPr>
        <w:t xml:space="preserve"> x 0.999</w:t>
      </w:r>
      <w:r w:rsidR="00F92FC9">
        <w:rPr>
          <w:szCs w:val="20"/>
        </w:rPr>
        <w:t>0</w:t>
      </w:r>
      <w:r w:rsidR="00515013" w:rsidRPr="00515013">
        <w:rPr>
          <w:szCs w:val="20"/>
        </w:rPr>
        <w:t xml:space="preserve"> </w:t>
      </w:r>
      <w:r w:rsidR="006D206F">
        <w:rPr>
          <w:szCs w:val="20"/>
        </w:rPr>
        <w:t xml:space="preserve">= </w:t>
      </w:r>
      <w:r w:rsidR="00F92FC9" w:rsidRPr="00F92FC9">
        <w:rPr>
          <w:szCs w:val="20"/>
        </w:rPr>
        <w:t>1.012986</w:t>
      </w:r>
      <w:r w:rsidRPr="00515013">
        <w:rPr>
          <w:szCs w:val="20"/>
        </w:rPr>
        <w:t xml:space="preserve">. </w:t>
      </w:r>
    </w:p>
    <w:p w:rsidR="00120560" w:rsidRPr="00515013" w:rsidRDefault="00120560" w:rsidP="008C5E68">
      <w:pPr>
        <w:tabs>
          <w:tab w:val="num" w:pos="2160"/>
        </w:tabs>
        <w:spacing w:after="120"/>
        <w:ind w:left="1080"/>
      </w:pPr>
      <w:r w:rsidRPr="00515013">
        <w:rPr>
          <w:szCs w:val="20"/>
        </w:rPr>
        <w:t xml:space="preserve">The </w:t>
      </w:r>
      <w:r w:rsidR="00FE5271" w:rsidRPr="00515013">
        <w:rPr>
          <w:szCs w:val="20"/>
        </w:rPr>
        <w:t>201</w:t>
      </w:r>
      <w:r w:rsidR="00CE55BB">
        <w:rPr>
          <w:szCs w:val="20"/>
        </w:rPr>
        <w:t>8</w:t>
      </w:r>
      <w:r w:rsidRPr="00515013">
        <w:rPr>
          <w:szCs w:val="20"/>
        </w:rPr>
        <w:t xml:space="preserve"> cumulative </w:t>
      </w:r>
      <w:r w:rsidR="005E2BF5" w:rsidRPr="00515013">
        <w:rPr>
          <w:szCs w:val="20"/>
        </w:rPr>
        <w:t>adjustment factor</w:t>
      </w:r>
      <w:r w:rsidRPr="00515013">
        <w:rPr>
          <w:szCs w:val="20"/>
        </w:rPr>
        <w:t xml:space="preserve"> is </w:t>
      </w:r>
      <w:r w:rsidR="00CE55BB" w:rsidRPr="00F92FC9">
        <w:rPr>
          <w:szCs w:val="20"/>
        </w:rPr>
        <w:t>1.012986</w:t>
      </w:r>
      <w:r w:rsidR="00CE55BB">
        <w:rPr>
          <w:szCs w:val="20"/>
        </w:rPr>
        <w:t xml:space="preserve"> </w:t>
      </w:r>
      <w:r w:rsidR="00515013" w:rsidRPr="00515013">
        <w:rPr>
          <w:szCs w:val="20"/>
        </w:rPr>
        <w:t xml:space="preserve">x </w:t>
      </w:r>
      <w:r w:rsidR="00CE55BB" w:rsidRPr="00CE55BB">
        <w:rPr>
          <w:szCs w:val="20"/>
        </w:rPr>
        <w:t>1.0933</w:t>
      </w:r>
      <w:r w:rsidR="00CE55BB">
        <w:rPr>
          <w:szCs w:val="20"/>
        </w:rPr>
        <w:t xml:space="preserve"> </w:t>
      </w:r>
      <w:r w:rsidR="00515013" w:rsidRPr="00515013">
        <w:rPr>
          <w:szCs w:val="20"/>
        </w:rPr>
        <w:t xml:space="preserve">= </w:t>
      </w:r>
      <w:r w:rsidR="00CE55BB" w:rsidRPr="00CE55BB">
        <w:rPr>
          <w:szCs w:val="20"/>
        </w:rPr>
        <w:t>1.1075</w:t>
      </w:r>
      <w:r w:rsidR="00FB5084">
        <w:rPr>
          <w:szCs w:val="20"/>
        </w:rPr>
        <w:t>.</w:t>
      </w:r>
    </w:p>
    <w:p w:rsidR="00FE0D75" w:rsidRPr="00FE0D75" w:rsidRDefault="00B462E6" w:rsidP="008C5E68">
      <w:pPr>
        <w:numPr>
          <w:ilvl w:val="1"/>
          <w:numId w:val="25"/>
        </w:numPr>
        <w:tabs>
          <w:tab w:val="num" w:pos="2160"/>
        </w:tabs>
        <w:spacing w:after="240"/>
      </w:pPr>
      <w:r w:rsidRPr="00FE0D75">
        <w:rPr>
          <w:szCs w:val="20"/>
        </w:rPr>
        <w:t>The 201</w:t>
      </w:r>
      <w:r w:rsidR="00AC0934">
        <w:rPr>
          <w:szCs w:val="20"/>
        </w:rPr>
        <w:t>7</w:t>
      </w:r>
      <w:r w:rsidRPr="00FE0D75">
        <w:rPr>
          <w:szCs w:val="20"/>
        </w:rPr>
        <w:t xml:space="preserve"> cumulative </w:t>
      </w:r>
      <w:r w:rsidR="00FE0D75" w:rsidRPr="00FE0D75">
        <w:rPr>
          <w:szCs w:val="20"/>
        </w:rPr>
        <w:t>adjustment factor</w:t>
      </w:r>
      <w:r w:rsidR="008C3D54">
        <w:rPr>
          <w:szCs w:val="20"/>
        </w:rPr>
        <w:t xml:space="preserve"> for anesthesia</w:t>
      </w:r>
      <w:r w:rsidR="00FE0D75" w:rsidRPr="00FE0D75">
        <w:rPr>
          <w:szCs w:val="20"/>
        </w:rPr>
        <w:t xml:space="preserve"> is </w:t>
      </w:r>
      <w:r w:rsidR="00AC0934" w:rsidRPr="00AC0934">
        <w:t>1.0433</w:t>
      </w:r>
      <w:r w:rsidRPr="00FE0D75">
        <w:rPr>
          <w:szCs w:val="20"/>
        </w:rPr>
        <w:t xml:space="preserve">. </w:t>
      </w:r>
    </w:p>
    <w:p w:rsidR="00FE0D75" w:rsidRPr="00FE0D75" w:rsidRDefault="00B462E6" w:rsidP="008C5E68">
      <w:pPr>
        <w:tabs>
          <w:tab w:val="num" w:pos="2160"/>
        </w:tabs>
        <w:spacing w:after="240"/>
        <w:ind w:left="1080"/>
      </w:pPr>
      <w:r w:rsidRPr="00FE0D75">
        <w:rPr>
          <w:szCs w:val="20"/>
        </w:rPr>
        <w:t xml:space="preserve">The </w:t>
      </w:r>
      <w:r w:rsidR="00FE5271" w:rsidRPr="00FE0D75">
        <w:rPr>
          <w:szCs w:val="20"/>
        </w:rPr>
        <w:t>201</w:t>
      </w:r>
      <w:r w:rsidR="00AC0934">
        <w:rPr>
          <w:szCs w:val="20"/>
        </w:rPr>
        <w:t>8</w:t>
      </w:r>
      <w:r w:rsidRPr="00FE0D75">
        <w:rPr>
          <w:szCs w:val="20"/>
        </w:rPr>
        <w:t xml:space="preserve"> annual adjustment factor is </w:t>
      </w:r>
      <w:r w:rsidR="00AC0934" w:rsidRPr="00515013">
        <w:rPr>
          <w:szCs w:val="20"/>
        </w:rPr>
        <w:t>1.01</w:t>
      </w:r>
      <w:r w:rsidR="00AC0934">
        <w:rPr>
          <w:szCs w:val="20"/>
        </w:rPr>
        <w:t>4</w:t>
      </w:r>
      <w:r w:rsidR="00AC0934" w:rsidRPr="00515013">
        <w:rPr>
          <w:szCs w:val="20"/>
        </w:rPr>
        <w:t xml:space="preserve"> x 0.999</w:t>
      </w:r>
      <w:r w:rsidR="00AC0934">
        <w:rPr>
          <w:szCs w:val="20"/>
        </w:rPr>
        <w:t>0</w:t>
      </w:r>
      <w:r w:rsidR="00AC0934" w:rsidRPr="00515013">
        <w:rPr>
          <w:szCs w:val="20"/>
        </w:rPr>
        <w:t xml:space="preserve"> </w:t>
      </w:r>
      <w:r w:rsidR="008C3D54">
        <w:rPr>
          <w:szCs w:val="20"/>
        </w:rPr>
        <w:t xml:space="preserve">x </w:t>
      </w:r>
      <w:r w:rsidR="00AC0934" w:rsidRPr="00AC0934">
        <w:t>1.0034</w:t>
      </w:r>
      <w:r w:rsidR="008C3D54">
        <w:rPr>
          <w:szCs w:val="20"/>
        </w:rPr>
        <w:t xml:space="preserve"> = </w:t>
      </w:r>
      <w:r w:rsidR="00AC0934">
        <w:t>1.01643</w:t>
      </w:r>
      <w:r w:rsidRPr="00FE0D75">
        <w:rPr>
          <w:szCs w:val="20"/>
        </w:rPr>
        <w:t xml:space="preserve">. </w:t>
      </w:r>
    </w:p>
    <w:p w:rsidR="00B462E6" w:rsidRPr="00FE0D75" w:rsidRDefault="00B462E6" w:rsidP="008C5E68">
      <w:pPr>
        <w:tabs>
          <w:tab w:val="num" w:pos="2160"/>
        </w:tabs>
        <w:spacing w:after="240"/>
        <w:ind w:left="1080"/>
      </w:pPr>
      <w:r w:rsidRPr="00FE0D75">
        <w:rPr>
          <w:szCs w:val="20"/>
        </w:rPr>
        <w:t xml:space="preserve">The </w:t>
      </w:r>
      <w:r w:rsidR="00FE5271" w:rsidRPr="00FE0D75">
        <w:rPr>
          <w:szCs w:val="20"/>
        </w:rPr>
        <w:t>201</w:t>
      </w:r>
      <w:r w:rsidR="00AC0934">
        <w:rPr>
          <w:szCs w:val="20"/>
        </w:rPr>
        <w:t>8</w:t>
      </w:r>
      <w:r w:rsidRPr="00FE0D75">
        <w:rPr>
          <w:szCs w:val="20"/>
        </w:rPr>
        <w:t xml:space="preserve"> cumulative adjustment factor is </w:t>
      </w:r>
      <w:r w:rsidR="00AC0934">
        <w:t>1.01643</w:t>
      </w:r>
      <w:r w:rsidR="00FE0D75" w:rsidRPr="00FE0D75">
        <w:rPr>
          <w:szCs w:val="20"/>
        </w:rPr>
        <w:t xml:space="preserve"> x </w:t>
      </w:r>
      <w:r w:rsidR="00AC0934" w:rsidRPr="00AC0934">
        <w:rPr>
          <w:szCs w:val="20"/>
        </w:rPr>
        <w:t>1.0433</w:t>
      </w:r>
      <w:r w:rsidR="00FE0D75" w:rsidRPr="00FE0D75">
        <w:rPr>
          <w:szCs w:val="20"/>
        </w:rPr>
        <w:t xml:space="preserve"> = </w:t>
      </w:r>
      <w:r w:rsidR="00AC0934" w:rsidRPr="00AC0934">
        <w:rPr>
          <w:szCs w:val="20"/>
        </w:rPr>
        <w:t>1.0604</w:t>
      </w:r>
      <w:r w:rsidRPr="00FE0D75">
        <w:rPr>
          <w:szCs w:val="20"/>
        </w:rPr>
        <w:t>.</w:t>
      </w:r>
    </w:p>
    <w:p w:rsidR="00084097" w:rsidRDefault="00084097" w:rsidP="0067587F">
      <w:pPr>
        <w:jc w:val="center"/>
        <w:rPr>
          <w:szCs w:val="20"/>
        </w:rPr>
      </w:pPr>
      <w:r w:rsidRPr="00FC666C">
        <w:rPr>
          <w:b/>
          <w:szCs w:val="20"/>
        </w:rPr>
        <w:lastRenderedPageBreak/>
        <w:t>Table 1</w:t>
      </w:r>
      <w:proofErr w:type="gramStart"/>
      <w:r w:rsidR="00823FD4">
        <w:rPr>
          <w:b/>
          <w:szCs w:val="20"/>
        </w:rPr>
        <w:t>*</w:t>
      </w:r>
      <w:r>
        <w:rPr>
          <w:szCs w:val="20"/>
        </w:rPr>
        <w:t xml:space="preserve"> </w:t>
      </w:r>
      <w:r w:rsidR="00FC666C">
        <w:rPr>
          <w:szCs w:val="20"/>
        </w:rPr>
        <w:t xml:space="preserve"> </w:t>
      </w:r>
      <w:r>
        <w:rPr>
          <w:szCs w:val="20"/>
        </w:rPr>
        <w:t>Derivation</w:t>
      </w:r>
      <w:proofErr w:type="gramEnd"/>
      <w:r>
        <w:rPr>
          <w:szCs w:val="20"/>
        </w:rPr>
        <w:t xml:space="preserve"> of the Cumulative Adjustment Factors Applied to the Unadjusted </w:t>
      </w:r>
      <w:r w:rsidR="00FE5271">
        <w:rPr>
          <w:szCs w:val="20"/>
        </w:rPr>
        <w:t>201</w:t>
      </w:r>
      <w:r w:rsidR="00FC76B2">
        <w:rPr>
          <w:szCs w:val="20"/>
        </w:rPr>
        <w:t>8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CF</w:t>
      </w:r>
      <w:r w:rsidR="00167B30">
        <w:rPr>
          <w:szCs w:val="20"/>
        </w:rPr>
        <w:t>s</w:t>
      </w:r>
      <w:proofErr w:type="spellEnd"/>
      <w:r w:rsidR="00167B30">
        <w:rPr>
          <w:szCs w:val="20"/>
        </w:rPr>
        <w:t xml:space="preserve"> </w:t>
      </w:r>
      <w:r w:rsidR="00167B30">
        <w:t>set forth in §9789.12.5(b)(2)</w:t>
      </w:r>
    </w:p>
    <w:p w:rsidR="002B6ED9" w:rsidRDefault="002B6ED9" w:rsidP="0067587F"/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424"/>
        <w:gridCol w:w="1171"/>
        <w:gridCol w:w="629"/>
        <w:gridCol w:w="2251"/>
        <w:gridCol w:w="833"/>
        <w:gridCol w:w="1255"/>
      </w:tblGrid>
      <w:tr w:rsidR="003418AF" w:rsidRPr="009E79E0" w:rsidTr="007B440A">
        <w:trPr>
          <w:trHeight w:hRule="exact" w:val="746"/>
          <w:tblHeader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23"/>
                <w:szCs w:val="23"/>
              </w:rPr>
            </w:pPr>
          </w:p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ind w:left="155"/>
            </w:pPr>
            <w:r w:rsidRPr="009E79E0">
              <w:rPr>
                <w:spacing w:val="-1"/>
                <w:sz w:val="16"/>
                <w:szCs w:val="16"/>
              </w:rPr>
              <w:t>Type of</w:t>
            </w:r>
            <w:r w:rsidRPr="009E79E0">
              <w:rPr>
                <w:sz w:val="16"/>
                <w:szCs w:val="16"/>
              </w:rPr>
              <w:t xml:space="preserve"> </w:t>
            </w:r>
            <w:r w:rsidRPr="009E79E0">
              <w:rPr>
                <w:spacing w:val="-1"/>
                <w:sz w:val="16"/>
                <w:szCs w:val="16"/>
              </w:rPr>
              <w:t>Service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9E79E0" w:rsidRDefault="00EE1782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ind w:left="102"/>
              <w:jc w:val="both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201</w:t>
            </w:r>
            <w:r w:rsidR="00FC76B2">
              <w:rPr>
                <w:spacing w:val="-1"/>
                <w:sz w:val="16"/>
                <w:szCs w:val="16"/>
              </w:rPr>
              <w:t>7</w:t>
            </w:r>
          </w:p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ind w:left="102" w:right="307"/>
              <w:jc w:val="both"/>
            </w:pPr>
            <w:r w:rsidRPr="009E79E0">
              <w:rPr>
                <w:spacing w:val="-1"/>
                <w:sz w:val="16"/>
                <w:szCs w:val="16"/>
              </w:rPr>
              <w:t>Cumulative</w:t>
            </w:r>
            <w:r w:rsidRPr="009E79E0">
              <w:rPr>
                <w:spacing w:val="24"/>
                <w:sz w:val="16"/>
                <w:szCs w:val="16"/>
              </w:rPr>
              <w:t xml:space="preserve"> </w:t>
            </w:r>
            <w:r w:rsidRPr="009E79E0">
              <w:rPr>
                <w:spacing w:val="-1"/>
                <w:sz w:val="16"/>
                <w:szCs w:val="16"/>
              </w:rPr>
              <w:t>Adjustment</w:t>
            </w:r>
            <w:r w:rsidRPr="009E79E0">
              <w:rPr>
                <w:spacing w:val="23"/>
                <w:sz w:val="16"/>
                <w:szCs w:val="16"/>
              </w:rPr>
              <w:t xml:space="preserve"> </w:t>
            </w:r>
            <w:r w:rsidRPr="009E79E0">
              <w:rPr>
                <w:spacing w:val="-1"/>
                <w:sz w:val="16"/>
                <w:szCs w:val="16"/>
              </w:rPr>
              <w:t>Factor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AF" w:rsidRPr="009E79E0" w:rsidRDefault="003418AF" w:rsidP="000F1A07">
            <w:pPr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23"/>
                <w:szCs w:val="23"/>
              </w:rPr>
            </w:pPr>
          </w:p>
          <w:p w:rsidR="003418AF" w:rsidRPr="009E79E0" w:rsidRDefault="00FE5271" w:rsidP="00FC76B2">
            <w:pPr>
              <w:kinsoku w:val="0"/>
              <w:overflowPunct w:val="0"/>
              <w:autoSpaceDE w:val="0"/>
              <w:autoSpaceDN w:val="0"/>
              <w:adjustRightInd w:val="0"/>
              <w:ind w:left="415"/>
            </w:pPr>
            <w:r>
              <w:rPr>
                <w:spacing w:val="-1"/>
                <w:sz w:val="16"/>
                <w:szCs w:val="16"/>
              </w:rPr>
              <w:t>201</w:t>
            </w:r>
            <w:r w:rsidR="00FC76B2">
              <w:rPr>
                <w:spacing w:val="-1"/>
                <w:sz w:val="16"/>
                <w:szCs w:val="16"/>
              </w:rPr>
              <w:t>8</w:t>
            </w:r>
            <w:r w:rsidR="003418AF" w:rsidRPr="009E79E0">
              <w:rPr>
                <w:spacing w:val="2"/>
                <w:sz w:val="16"/>
                <w:szCs w:val="16"/>
              </w:rPr>
              <w:t xml:space="preserve"> </w:t>
            </w:r>
            <w:r w:rsidR="003418AF" w:rsidRPr="009E79E0">
              <w:rPr>
                <w:spacing w:val="-1"/>
                <w:sz w:val="16"/>
                <w:szCs w:val="16"/>
              </w:rPr>
              <w:t>Adjustment</w:t>
            </w:r>
            <w:r w:rsidR="003418AF" w:rsidRPr="009E79E0">
              <w:rPr>
                <w:spacing w:val="1"/>
                <w:sz w:val="16"/>
                <w:szCs w:val="16"/>
              </w:rPr>
              <w:t xml:space="preserve"> </w:t>
            </w:r>
            <w:r w:rsidR="003418AF" w:rsidRPr="009E79E0">
              <w:rPr>
                <w:spacing w:val="-1"/>
                <w:sz w:val="16"/>
                <w:szCs w:val="16"/>
              </w:rPr>
              <w:t>Factors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8AF" w:rsidRPr="009E79E0" w:rsidRDefault="003418AF" w:rsidP="000F1A07">
            <w:pPr>
              <w:autoSpaceDE w:val="0"/>
              <w:autoSpaceDN w:val="0"/>
              <w:adjustRightInd w:val="0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9E79E0" w:rsidRDefault="00FE5271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ind w:left="102"/>
              <w:jc w:val="both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201</w:t>
            </w:r>
            <w:r w:rsidR="00FC76B2">
              <w:rPr>
                <w:spacing w:val="-1"/>
                <w:sz w:val="16"/>
                <w:szCs w:val="16"/>
              </w:rPr>
              <w:t>8</w:t>
            </w:r>
          </w:p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ind w:left="102" w:right="391"/>
              <w:jc w:val="both"/>
            </w:pPr>
            <w:r w:rsidRPr="009E79E0">
              <w:rPr>
                <w:spacing w:val="-1"/>
                <w:sz w:val="16"/>
                <w:szCs w:val="16"/>
              </w:rPr>
              <w:t>Cumulative</w:t>
            </w:r>
            <w:r w:rsidRPr="009E79E0">
              <w:rPr>
                <w:spacing w:val="24"/>
                <w:sz w:val="16"/>
                <w:szCs w:val="16"/>
              </w:rPr>
              <w:t xml:space="preserve"> </w:t>
            </w:r>
            <w:r w:rsidRPr="009E79E0">
              <w:rPr>
                <w:spacing w:val="-1"/>
                <w:sz w:val="16"/>
                <w:szCs w:val="16"/>
              </w:rPr>
              <w:t>Adjustment</w:t>
            </w:r>
            <w:r w:rsidRPr="009E79E0">
              <w:rPr>
                <w:spacing w:val="23"/>
                <w:sz w:val="16"/>
                <w:szCs w:val="16"/>
              </w:rPr>
              <w:t xml:space="preserve"> </w:t>
            </w:r>
            <w:r w:rsidRPr="009E79E0">
              <w:rPr>
                <w:spacing w:val="-1"/>
                <w:sz w:val="16"/>
                <w:szCs w:val="16"/>
              </w:rPr>
              <w:t>Factor</w:t>
            </w:r>
          </w:p>
        </w:tc>
      </w:tr>
      <w:tr w:rsidR="003418AF" w:rsidRPr="009E79E0" w:rsidTr="008974A4">
        <w:trPr>
          <w:trHeight w:hRule="exact" w:val="124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9E79E0" w:rsidRDefault="003418AF" w:rsidP="000F1A07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right="3"/>
              <w:jc w:val="center"/>
            </w:pPr>
            <w:r w:rsidRPr="009E79E0">
              <w:rPr>
                <w:spacing w:val="-1"/>
                <w:sz w:val="16"/>
                <w:szCs w:val="16"/>
              </w:rPr>
              <w:t>(A)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ind w:left="159" w:right="159" w:firstLine="38"/>
            </w:pPr>
            <w:r w:rsidRPr="009E79E0">
              <w:rPr>
                <w:spacing w:val="-1"/>
                <w:sz w:val="16"/>
                <w:szCs w:val="16"/>
              </w:rPr>
              <w:t>(B)</w:t>
            </w:r>
            <w:r w:rsidRPr="009E79E0">
              <w:rPr>
                <w:spacing w:val="22"/>
                <w:sz w:val="16"/>
                <w:szCs w:val="16"/>
              </w:rPr>
              <w:t xml:space="preserve"> </w:t>
            </w:r>
            <w:r w:rsidRPr="009E79E0">
              <w:rPr>
                <w:sz w:val="16"/>
                <w:szCs w:val="16"/>
              </w:rPr>
              <w:t>MEI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ind w:left="831" w:right="827" w:firstLine="180"/>
            </w:pPr>
            <w:r w:rsidRPr="009E79E0">
              <w:rPr>
                <w:spacing w:val="-1"/>
                <w:sz w:val="16"/>
                <w:szCs w:val="16"/>
              </w:rPr>
              <w:t>(C)</w:t>
            </w:r>
            <w:r w:rsidRPr="009E79E0">
              <w:rPr>
                <w:spacing w:val="22"/>
                <w:sz w:val="16"/>
                <w:szCs w:val="16"/>
              </w:rPr>
              <w:t xml:space="preserve"> </w:t>
            </w:r>
            <w:r w:rsidRPr="009E79E0">
              <w:rPr>
                <w:spacing w:val="-1"/>
                <w:sz w:val="16"/>
                <w:szCs w:val="16"/>
              </w:rPr>
              <w:t>RVS</w:t>
            </w:r>
            <w:r w:rsidRPr="009E79E0">
              <w:rPr>
                <w:sz w:val="16"/>
                <w:szCs w:val="16"/>
              </w:rPr>
              <w:t xml:space="preserve"> </w:t>
            </w:r>
            <w:proofErr w:type="spellStart"/>
            <w:r w:rsidRPr="009E79E0">
              <w:rPr>
                <w:sz w:val="16"/>
                <w:szCs w:val="16"/>
              </w:rPr>
              <w:t>BN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right="5"/>
              <w:jc w:val="center"/>
              <w:rPr>
                <w:sz w:val="16"/>
                <w:szCs w:val="16"/>
              </w:rPr>
            </w:pPr>
            <w:r w:rsidRPr="009E79E0">
              <w:rPr>
                <w:spacing w:val="-1"/>
                <w:sz w:val="16"/>
                <w:szCs w:val="16"/>
              </w:rPr>
              <w:t>(D)</w:t>
            </w:r>
          </w:p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173" w:hanging="3"/>
              <w:jc w:val="center"/>
              <w:rPr>
                <w:spacing w:val="-1"/>
                <w:sz w:val="16"/>
                <w:szCs w:val="16"/>
              </w:rPr>
            </w:pPr>
            <w:r w:rsidRPr="009E79E0">
              <w:rPr>
                <w:spacing w:val="-1"/>
                <w:sz w:val="16"/>
                <w:szCs w:val="16"/>
              </w:rPr>
              <w:t>Total</w:t>
            </w:r>
            <w:r w:rsidRPr="009E79E0">
              <w:rPr>
                <w:spacing w:val="20"/>
                <w:sz w:val="16"/>
                <w:szCs w:val="16"/>
              </w:rPr>
              <w:t xml:space="preserve"> </w:t>
            </w:r>
            <w:r w:rsidRPr="009E79E0">
              <w:rPr>
                <w:spacing w:val="-1"/>
                <w:sz w:val="16"/>
                <w:szCs w:val="16"/>
              </w:rPr>
              <w:t>Annual</w:t>
            </w:r>
            <w:r w:rsidRPr="009E79E0">
              <w:rPr>
                <w:spacing w:val="25"/>
                <w:sz w:val="16"/>
                <w:szCs w:val="16"/>
              </w:rPr>
              <w:t xml:space="preserve"> </w:t>
            </w:r>
            <w:r w:rsidRPr="009E79E0">
              <w:rPr>
                <w:spacing w:val="-1"/>
                <w:sz w:val="16"/>
                <w:szCs w:val="16"/>
              </w:rPr>
              <w:t>Adjust.</w:t>
            </w:r>
            <w:r w:rsidRPr="009E79E0">
              <w:rPr>
                <w:spacing w:val="22"/>
                <w:sz w:val="16"/>
                <w:szCs w:val="16"/>
              </w:rPr>
              <w:t xml:space="preserve"> </w:t>
            </w:r>
            <w:r w:rsidRPr="009E79E0">
              <w:rPr>
                <w:spacing w:val="-1"/>
                <w:sz w:val="16"/>
                <w:szCs w:val="16"/>
              </w:rPr>
              <w:t>Factor</w:t>
            </w:r>
          </w:p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ind w:left="114"/>
            </w:pPr>
            <w:r w:rsidRPr="009E79E0">
              <w:rPr>
                <w:spacing w:val="-1"/>
                <w:sz w:val="16"/>
                <w:szCs w:val="16"/>
              </w:rPr>
              <w:t>(B)</w:t>
            </w:r>
            <w:r w:rsidRPr="009E79E0">
              <w:rPr>
                <w:sz w:val="16"/>
                <w:szCs w:val="16"/>
              </w:rPr>
              <w:t xml:space="preserve"> x</w:t>
            </w:r>
            <w:r w:rsidRPr="009E79E0">
              <w:rPr>
                <w:spacing w:val="-1"/>
                <w:sz w:val="16"/>
                <w:szCs w:val="16"/>
              </w:rPr>
              <w:t xml:space="preserve"> (C)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jc w:val="center"/>
              <w:rPr>
                <w:spacing w:val="-1"/>
                <w:sz w:val="16"/>
                <w:szCs w:val="16"/>
              </w:rPr>
            </w:pPr>
            <w:r w:rsidRPr="009E79E0">
              <w:rPr>
                <w:spacing w:val="-1"/>
                <w:sz w:val="16"/>
                <w:szCs w:val="16"/>
              </w:rPr>
              <w:t>(E)</w:t>
            </w:r>
          </w:p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sz w:val="16"/>
                <w:szCs w:val="16"/>
              </w:rPr>
            </w:pPr>
          </w:p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ind w:left="318"/>
            </w:pPr>
            <w:r w:rsidRPr="009E79E0">
              <w:rPr>
                <w:spacing w:val="-1"/>
                <w:sz w:val="16"/>
                <w:szCs w:val="16"/>
              </w:rPr>
              <w:t>(A)</w:t>
            </w:r>
            <w:r w:rsidRPr="009E79E0">
              <w:rPr>
                <w:sz w:val="16"/>
                <w:szCs w:val="16"/>
              </w:rPr>
              <w:t xml:space="preserve"> x</w:t>
            </w:r>
            <w:r w:rsidRPr="009E79E0">
              <w:rPr>
                <w:spacing w:val="-1"/>
                <w:sz w:val="16"/>
                <w:szCs w:val="16"/>
              </w:rPr>
              <w:t xml:space="preserve"> (D)</w:t>
            </w:r>
          </w:p>
        </w:tc>
      </w:tr>
      <w:tr w:rsidR="003418AF" w:rsidRPr="009E79E0" w:rsidTr="008974A4">
        <w:trPr>
          <w:trHeight w:hRule="exact" w:val="56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A" w:rsidRDefault="00E127AA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spacing w:val="-1"/>
                <w:sz w:val="16"/>
                <w:szCs w:val="16"/>
              </w:rPr>
            </w:pPr>
          </w:p>
          <w:p w:rsidR="003418AF" w:rsidRPr="009E79E0" w:rsidRDefault="004E619D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</w:pPr>
            <w:r>
              <w:rPr>
                <w:spacing w:val="-1"/>
                <w:sz w:val="16"/>
                <w:szCs w:val="16"/>
              </w:rPr>
              <w:t>Anesthesia</w:t>
            </w:r>
            <w:r w:rsidR="00E62CF2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76" w:rsidRDefault="00D86876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2"/>
              <w:rPr>
                <w:spacing w:val="-1"/>
                <w:sz w:val="16"/>
                <w:szCs w:val="16"/>
              </w:rPr>
            </w:pPr>
          </w:p>
          <w:p w:rsidR="003418AF" w:rsidRPr="009E79E0" w:rsidRDefault="00EE1782" w:rsidP="000F61CF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2"/>
            </w:pPr>
            <w:r>
              <w:rPr>
                <w:spacing w:val="-1"/>
                <w:sz w:val="16"/>
                <w:szCs w:val="16"/>
              </w:rPr>
              <w:t xml:space="preserve"> </w:t>
            </w:r>
            <w:r w:rsidR="00FC76B2" w:rsidRPr="00FC76B2">
              <w:rPr>
                <w:spacing w:val="-1"/>
                <w:sz w:val="16"/>
                <w:szCs w:val="16"/>
              </w:rPr>
              <w:t>1.0433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A" w:rsidRDefault="00E127AA" w:rsidP="00EE1782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spacing w:val="-1"/>
                <w:sz w:val="16"/>
                <w:szCs w:val="16"/>
              </w:rPr>
            </w:pPr>
          </w:p>
          <w:p w:rsidR="003418AF" w:rsidRPr="009E79E0" w:rsidRDefault="003418AF" w:rsidP="00FC76B2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</w:pPr>
            <w:r w:rsidRPr="009E79E0">
              <w:rPr>
                <w:spacing w:val="-1"/>
                <w:sz w:val="16"/>
                <w:szCs w:val="16"/>
              </w:rPr>
              <w:t>1.01</w:t>
            </w:r>
            <w:r w:rsidR="00FC76B2">
              <w:rPr>
                <w:spacing w:val="-1"/>
                <w:sz w:val="16"/>
                <w:szCs w:val="16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B2" w:rsidRDefault="00FC76B2" w:rsidP="00EE178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"/>
              <w:jc w:val="center"/>
              <w:rPr>
                <w:spacing w:val="-1"/>
                <w:sz w:val="18"/>
                <w:szCs w:val="18"/>
              </w:rPr>
            </w:pPr>
            <w:r w:rsidRPr="00FC76B2">
              <w:rPr>
                <w:spacing w:val="-1"/>
                <w:sz w:val="18"/>
                <w:szCs w:val="18"/>
              </w:rPr>
              <w:t xml:space="preserve">1.0024 </w:t>
            </w:r>
          </w:p>
          <w:p w:rsidR="00041027" w:rsidRDefault="003418AF" w:rsidP="0087351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"/>
              <w:jc w:val="center"/>
              <w:rPr>
                <w:spacing w:val="-1"/>
                <w:sz w:val="18"/>
                <w:szCs w:val="18"/>
              </w:rPr>
            </w:pPr>
            <w:r w:rsidRPr="009E79E0">
              <w:rPr>
                <w:spacing w:val="-1"/>
                <w:sz w:val="18"/>
                <w:szCs w:val="18"/>
              </w:rPr>
              <w:t>(</w:t>
            </w:r>
            <w:r w:rsidR="00FC76B2" w:rsidRPr="00FC76B2">
              <w:rPr>
                <w:spacing w:val="-1"/>
                <w:sz w:val="18"/>
                <w:szCs w:val="18"/>
              </w:rPr>
              <w:t>0.9990 x 1.0034</w:t>
            </w:r>
            <w:r w:rsidRPr="009E79E0">
              <w:rPr>
                <w:spacing w:val="-1"/>
                <w:sz w:val="18"/>
                <w:szCs w:val="18"/>
              </w:rPr>
              <w:t>)</w:t>
            </w:r>
          </w:p>
          <w:p w:rsidR="00041027" w:rsidRDefault="00041027" w:rsidP="00EE178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"/>
              <w:jc w:val="center"/>
              <w:rPr>
                <w:spacing w:val="-1"/>
                <w:sz w:val="18"/>
                <w:szCs w:val="18"/>
              </w:rPr>
            </w:pPr>
          </w:p>
          <w:p w:rsidR="00041027" w:rsidRDefault="00041027" w:rsidP="00EE178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"/>
              <w:jc w:val="center"/>
              <w:rPr>
                <w:spacing w:val="-1"/>
                <w:sz w:val="18"/>
                <w:szCs w:val="18"/>
              </w:rPr>
            </w:pPr>
          </w:p>
          <w:p w:rsidR="00041027" w:rsidRPr="009E79E0" w:rsidRDefault="00041027" w:rsidP="00EE178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A" w:rsidRDefault="00E127AA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sz w:val="18"/>
                <w:szCs w:val="18"/>
              </w:rPr>
            </w:pPr>
          </w:p>
          <w:p w:rsidR="003418AF" w:rsidRPr="009E79E0" w:rsidRDefault="00FC76B2" w:rsidP="000F61CF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1.01643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Default="00EE1782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127AA" w:rsidRPr="009E79E0" w:rsidRDefault="00FC76B2" w:rsidP="006D206F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2"/>
              <w:rPr>
                <w:sz w:val="18"/>
                <w:szCs w:val="18"/>
              </w:rPr>
            </w:pPr>
            <w:r w:rsidRPr="00FC76B2">
              <w:rPr>
                <w:sz w:val="18"/>
                <w:szCs w:val="18"/>
              </w:rPr>
              <w:t>1.0604</w:t>
            </w:r>
          </w:p>
        </w:tc>
      </w:tr>
      <w:tr w:rsidR="003418AF" w:rsidRPr="009E79E0" w:rsidTr="008974A4">
        <w:trPr>
          <w:trHeight w:hRule="exact" w:val="6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A" w:rsidRDefault="00E127AA" w:rsidP="000F1A07">
            <w:pPr>
              <w:kinsoku w:val="0"/>
              <w:overflowPunct w:val="0"/>
              <w:autoSpaceDE w:val="0"/>
              <w:autoSpaceDN w:val="0"/>
              <w:adjustRightInd w:val="0"/>
              <w:ind w:left="99" w:right="108"/>
              <w:rPr>
                <w:spacing w:val="-1"/>
                <w:sz w:val="16"/>
                <w:szCs w:val="16"/>
              </w:rPr>
            </w:pPr>
          </w:p>
          <w:p w:rsidR="003418AF" w:rsidRPr="009E79E0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ind w:left="99" w:right="108"/>
            </w:pPr>
            <w:r w:rsidRPr="009E79E0">
              <w:rPr>
                <w:spacing w:val="-1"/>
                <w:sz w:val="16"/>
                <w:szCs w:val="16"/>
              </w:rPr>
              <w:t>All services</w:t>
            </w:r>
            <w:r w:rsidRPr="009E79E0">
              <w:rPr>
                <w:sz w:val="16"/>
                <w:szCs w:val="16"/>
              </w:rPr>
              <w:t xml:space="preserve"> </w:t>
            </w:r>
            <w:r w:rsidRPr="009E79E0">
              <w:rPr>
                <w:spacing w:val="-1"/>
                <w:sz w:val="16"/>
                <w:szCs w:val="16"/>
              </w:rPr>
              <w:t>other</w:t>
            </w:r>
            <w:r w:rsidRPr="009E79E0">
              <w:rPr>
                <w:spacing w:val="21"/>
                <w:sz w:val="16"/>
                <w:szCs w:val="16"/>
              </w:rPr>
              <w:t xml:space="preserve"> </w:t>
            </w:r>
            <w:r w:rsidRPr="009E79E0">
              <w:rPr>
                <w:spacing w:val="-1"/>
                <w:sz w:val="16"/>
                <w:szCs w:val="16"/>
              </w:rPr>
              <w:t>than anesthesia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Default="00EE1782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2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 </w:t>
            </w:r>
          </w:p>
          <w:p w:rsidR="00E127AA" w:rsidRPr="009E79E0" w:rsidRDefault="00FC76B2" w:rsidP="000F61CF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2"/>
            </w:pPr>
            <w:r w:rsidRPr="00FC76B2">
              <w:rPr>
                <w:spacing w:val="-1"/>
                <w:sz w:val="16"/>
                <w:szCs w:val="16"/>
              </w:rPr>
              <w:t>1.0933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A" w:rsidRDefault="00E127AA" w:rsidP="00EE1782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spacing w:val="-1"/>
                <w:sz w:val="16"/>
                <w:szCs w:val="16"/>
              </w:rPr>
            </w:pPr>
          </w:p>
          <w:p w:rsidR="003418AF" w:rsidRPr="009E79E0" w:rsidRDefault="003418AF" w:rsidP="00FC76B2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</w:pPr>
            <w:r w:rsidRPr="009E79E0">
              <w:rPr>
                <w:spacing w:val="-1"/>
                <w:sz w:val="16"/>
                <w:szCs w:val="16"/>
              </w:rPr>
              <w:t>1.01</w:t>
            </w:r>
            <w:r w:rsidR="00FC76B2">
              <w:rPr>
                <w:spacing w:val="-1"/>
                <w:sz w:val="16"/>
                <w:szCs w:val="16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A" w:rsidRDefault="00E127AA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right="1"/>
              <w:jc w:val="center"/>
              <w:rPr>
                <w:spacing w:val="-1"/>
                <w:sz w:val="18"/>
                <w:szCs w:val="18"/>
              </w:rPr>
            </w:pPr>
          </w:p>
          <w:p w:rsidR="003418AF" w:rsidRPr="009E79E0" w:rsidRDefault="00FC76B2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right="1"/>
              <w:jc w:val="center"/>
              <w:rPr>
                <w:sz w:val="18"/>
                <w:szCs w:val="18"/>
              </w:rPr>
            </w:pPr>
            <w:r w:rsidRPr="00FC76B2">
              <w:rPr>
                <w:spacing w:val="-1"/>
                <w:sz w:val="18"/>
                <w:szCs w:val="18"/>
              </w:rPr>
              <w:t>0.9990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AA" w:rsidRDefault="00E127AA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spacing w:val="-1"/>
                <w:sz w:val="18"/>
                <w:szCs w:val="18"/>
              </w:rPr>
            </w:pPr>
          </w:p>
          <w:p w:rsidR="003418AF" w:rsidRPr="009E79E0" w:rsidRDefault="00FC76B2" w:rsidP="000F61CF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sz w:val="18"/>
                <w:szCs w:val="18"/>
              </w:rPr>
            </w:pPr>
            <w:r w:rsidRPr="00FC76B2">
              <w:rPr>
                <w:spacing w:val="-1"/>
                <w:sz w:val="18"/>
                <w:szCs w:val="18"/>
              </w:rPr>
              <w:t>1.012986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Default="00EE1782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127AA" w:rsidRPr="009E79E0" w:rsidRDefault="00FC76B2" w:rsidP="003C219F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2"/>
              <w:rPr>
                <w:sz w:val="18"/>
                <w:szCs w:val="18"/>
              </w:rPr>
            </w:pPr>
            <w:r w:rsidRPr="00FC76B2">
              <w:rPr>
                <w:sz w:val="18"/>
                <w:szCs w:val="18"/>
              </w:rPr>
              <w:t>1.1075</w:t>
            </w:r>
          </w:p>
        </w:tc>
      </w:tr>
    </w:tbl>
    <w:p w:rsidR="00823FD4" w:rsidRPr="00756CDB" w:rsidRDefault="00823FD4" w:rsidP="00823FD4">
      <w:pPr>
        <w:ind w:left="720"/>
        <w:rPr>
          <w:sz w:val="20"/>
          <w:szCs w:val="20"/>
        </w:rPr>
      </w:pPr>
      <w:r w:rsidRPr="00756CDB">
        <w:rPr>
          <w:sz w:val="20"/>
          <w:szCs w:val="20"/>
        </w:rPr>
        <w:t>*Due to rounding</w:t>
      </w:r>
      <w:r>
        <w:rPr>
          <w:sz w:val="20"/>
          <w:szCs w:val="20"/>
        </w:rPr>
        <w:t>,</w:t>
      </w:r>
      <w:r w:rsidRPr="00756CDB">
        <w:rPr>
          <w:sz w:val="20"/>
          <w:szCs w:val="20"/>
        </w:rPr>
        <w:t xml:space="preserve"> </w:t>
      </w:r>
      <w:r>
        <w:rPr>
          <w:sz w:val="20"/>
          <w:szCs w:val="20"/>
        </w:rPr>
        <w:t>the numbers presented in the table may not precisely reflect the underlying calculations.</w:t>
      </w:r>
    </w:p>
    <w:p w:rsidR="003418AF" w:rsidRDefault="003418AF" w:rsidP="0067587F"/>
    <w:p w:rsidR="004D797B" w:rsidRDefault="004D797B" w:rsidP="0089218E">
      <w:pPr>
        <w:pStyle w:val="LowerAlphaList"/>
        <w:numPr>
          <w:ilvl w:val="1"/>
          <w:numId w:val="41"/>
        </w:numPr>
        <w:ind w:left="1080"/>
        <w:outlineLvl w:val="9"/>
      </w:pPr>
      <w:r>
        <w:t xml:space="preserve">The unadjusted </w:t>
      </w:r>
      <w:r w:rsidR="00FE5271">
        <w:t>201</w:t>
      </w:r>
      <w:r w:rsidR="00BA57CF">
        <w:t>8</w:t>
      </w:r>
      <w:r>
        <w:t xml:space="preserve"> </w:t>
      </w:r>
      <w:proofErr w:type="spellStart"/>
      <w:r>
        <w:t>CFs</w:t>
      </w:r>
      <w:proofErr w:type="spellEnd"/>
      <w:r w:rsidRPr="00D03CAF">
        <w:t xml:space="preserve"> </w:t>
      </w:r>
      <w:r>
        <w:t xml:space="preserve">are </w:t>
      </w:r>
      <w:r w:rsidR="001A7A17">
        <w:t xml:space="preserve">set forth </w:t>
      </w:r>
      <w:r w:rsidR="00AC5AA3">
        <w:t>in §9789.12.5(b</w:t>
      </w:r>
      <w:proofErr w:type="gramStart"/>
      <w:r w:rsidR="00AC5AA3">
        <w:t>)(</w:t>
      </w:r>
      <w:proofErr w:type="gramEnd"/>
      <w:r w:rsidR="00AC5AA3">
        <w:t xml:space="preserve">2) and are </w:t>
      </w:r>
      <w:r w:rsidR="001A7A17">
        <w:t>“</w:t>
      </w:r>
      <w:r>
        <w:t>120 percent of the Medicare 2012 CF</w:t>
      </w:r>
      <w:r w:rsidR="001A7A17">
        <w:t>”</w:t>
      </w:r>
      <w:r>
        <w:t xml:space="preserve">. The </w:t>
      </w:r>
      <w:r w:rsidR="00FE5271">
        <w:t>201</w:t>
      </w:r>
      <w:r w:rsidR="00BA57CF">
        <w:t>8</w:t>
      </w:r>
      <w:r>
        <w:t xml:space="preserve"> </w:t>
      </w:r>
      <w:proofErr w:type="spellStart"/>
      <w:r>
        <w:t>CFs</w:t>
      </w:r>
      <w:proofErr w:type="spellEnd"/>
      <w:r>
        <w:t xml:space="preserve"> </w:t>
      </w:r>
      <w:r w:rsidRPr="00C11960">
        <w:t xml:space="preserve">adjusted for </w:t>
      </w:r>
      <w:r>
        <w:t xml:space="preserve">the cumulative change in the </w:t>
      </w:r>
      <w:r w:rsidRPr="00C11960">
        <w:t xml:space="preserve">MEI and </w:t>
      </w:r>
      <w:r>
        <w:t>RVS</w:t>
      </w:r>
      <w:r w:rsidRPr="00C11960">
        <w:t xml:space="preserve"> adjustment factor</w:t>
      </w:r>
      <w:r>
        <w:t xml:space="preserve">s are shown in Table 2. </w:t>
      </w:r>
    </w:p>
    <w:p w:rsidR="004D797B" w:rsidRDefault="004D797B" w:rsidP="0067587F">
      <w:pPr>
        <w:ind w:left="360"/>
      </w:pPr>
    </w:p>
    <w:p w:rsidR="004D797B" w:rsidRDefault="004D797B" w:rsidP="00727C8C">
      <w:pPr>
        <w:ind w:left="360" w:right="-270"/>
      </w:pPr>
      <w:r w:rsidRPr="00FC666C">
        <w:rPr>
          <w:b/>
        </w:rPr>
        <w:t>Table 2</w:t>
      </w:r>
      <w:r w:rsidR="00756CDB">
        <w:rPr>
          <w:b/>
        </w:rPr>
        <w:t>*</w:t>
      </w:r>
      <w:r w:rsidR="00727C8C">
        <w:t xml:space="preserve"> </w:t>
      </w:r>
      <w:r w:rsidR="00FE5271">
        <w:t>201</w:t>
      </w:r>
      <w:r w:rsidR="003204B8">
        <w:t>8</w:t>
      </w:r>
      <w:r>
        <w:t xml:space="preserve"> Unadjusted </w:t>
      </w:r>
      <w:proofErr w:type="spellStart"/>
      <w:r>
        <w:t>CFs</w:t>
      </w:r>
      <w:proofErr w:type="spellEnd"/>
      <w:r>
        <w:t xml:space="preserve">, Cumulative Adjustment Factors and </w:t>
      </w:r>
      <w:r w:rsidR="00FE5271">
        <w:t>201</w:t>
      </w:r>
      <w:r w:rsidR="003204B8">
        <w:t>8</w:t>
      </w:r>
      <w:r w:rsidR="00727C8C">
        <w:t xml:space="preserve"> </w:t>
      </w:r>
      <w:r>
        <w:t xml:space="preserve">Adjusted </w:t>
      </w:r>
      <w:proofErr w:type="spellStart"/>
      <w:r>
        <w:t>CFs</w:t>
      </w:r>
      <w:proofErr w:type="spellEnd"/>
    </w:p>
    <w:p w:rsidR="00957B1E" w:rsidRDefault="00957B1E" w:rsidP="0067587F">
      <w:pPr>
        <w:ind w:left="360"/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710"/>
        <w:gridCol w:w="1710"/>
        <w:gridCol w:w="1639"/>
      </w:tblGrid>
      <w:tr w:rsidR="003418AF" w:rsidRPr="00F87C6E" w:rsidTr="007B440A">
        <w:trPr>
          <w:trHeight w:hRule="exact" w:val="929"/>
          <w:tblHeader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F87C6E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2"/>
            </w:pPr>
            <w:r w:rsidRPr="00F87C6E">
              <w:rPr>
                <w:sz w:val="20"/>
                <w:szCs w:val="20"/>
              </w:rPr>
              <w:t>Type</w:t>
            </w:r>
            <w:r w:rsidRPr="00F87C6E">
              <w:rPr>
                <w:spacing w:val="-6"/>
                <w:sz w:val="20"/>
                <w:szCs w:val="20"/>
              </w:rPr>
              <w:t xml:space="preserve"> </w:t>
            </w:r>
            <w:r w:rsidRPr="00F87C6E">
              <w:rPr>
                <w:sz w:val="20"/>
                <w:szCs w:val="20"/>
              </w:rPr>
              <w:t>of</w:t>
            </w:r>
            <w:r w:rsidRPr="00F87C6E">
              <w:rPr>
                <w:spacing w:val="-8"/>
                <w:sz w:val="20"/>
                <w:szCs w:val="20"/>
              </w:rPr>
              <w:t xml:space="preserve"> </w:t>
            </w:r>
            <w:r w:rsidRPr="00F87C6E">
              <w:rPr>
                <w:spacing w:val="-1"/>
                <w:sz w:val="20"/>
                <w:szCs w:val="20"/>
              </w:rPr>
              <w:t>Service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F87C6E" w:rsidRDefault="003418AF" w:rsidP="003204B8">
            <w:pPr>
              <w:kinsoku w:val="0"/>
              <w:overflowPunct w:val="0"/>
              <w:autoSpaceDE w:val="0"/>
              <w:autoSpaceDN w:val="0"/>
              <w:adjustRightInd w:val="0"/>
              <w:ind w:left="102" w:right="229"/>
            </w:pPr>
            <w:r w:rsidRPr="00F87C6E">
              <w:rPr>
                <w:spacing w:val="-1"/>
                <w:sz w:val="20"/>
                <w:szCs w:val="20"/>
              </w:rPr>
              <w:t>Unadjusted</w:t>
            </w:r>
            <w:r w:rsidRPr="00F87C6E">
              <w:rPr>
                <w:spacing w:val="-13"/>
                <w:sz w:val="20"/>
                <w:szCs w:val="20"/>
              </w:rPr>
              <w:t xml:space="preserve"> </w:t>
            </w:r>
            <w:r w:rsidR="00FE5271">
              <w:rPr>
                <w:spacing w:val="1"/>
                <w:sz w:val="20"/>
                <w:szCs w:val="20"/>
              </w:rPr>
              <w:t>201</w:t>
            </w:r>
            <w:r w:rsidR="003204B8">
              <w:rPr>
                <w:spacing w:val="1"/>
                <w:sz w:val="20"/>
                <w:szCs w:val="20"/>
              </w:rPr>
              <w:t>8</w:t>
            </w:r>
            <w:r w:rsidRPr="00F87C6E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F87C6E">
              <w:rPr>
                <w:spacing w:val="-1"/>
                <w:sz w:val="20"/>
                <w:szCs w:val="20"/>
              </w:rPr>
              <w:t>CF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F87C6E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2" w:right="113"/>
            </w:pPr>
            <w:r w:rsidRPr="00F87C6E">
              <w:rPr>
                <w:spacing w:val="-1"/>
                <w:sz w:val="20"/>
                <w:szCs w:val="20"/>
              </w:rPr>
              <w:t>Cumulative</w:t>
            </w:r>
            <w:r w:rsidRPr="00F87C6E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F87C6E">
              <w:rPr>
                <w:spacing w:val="-1"/>
                <w:sz w:val="20"/>
                <w:szCs w:val="20"/>
              </w:rPr>
              <w:t>Adjustment</w:t>
            </w:r>
            <w:r w:rsidRPr="00F87C6E">
              <w:rPr>
                <w:spacing w:val="-15"/>
                <w:sz w:val="20"/>
                <w:szCs w:val="20"/>
              </w:rPr>
              <w:t xml:space="preserve"> </w:t>
            </w:r>
            <w:r w:rsidRPr="00F87C6E">
              <w:rPr>
                <w:spacing w:val="-1"/>
                <w:sz w:val="20"/>
                <w:szCs w:val="20"/>
              </w:rPr>
              <w:t>Factor</w:t>
            </w:r>
            <w:r w:rsidRPr="00F87C6E">
              <w:rPr>
                <w:spacing w:val="25"/>
                <w:w w:val="99"/>
                <w:sz w:val="20"/>
                <w:szCs w:val="20"/>
              </w:rPr>
              <w:t xml:space="preserve"> </w:t>
            </w:r>
            <w:r w:rsidRPr="00F87C6E">
              <w:rPr>
                <w:sz w:val="20"/>
                <w:szCs w:val="20"/>
              </w:rPr>
              <w:t>(from</w:t>
            </w:r>
            <w:r w:rsidRPr="00F87C6E">
              <w:rPr>
                <w:spacing w:val="-9"/>
                <w:sz w:val="20"/>
                <w:szCs w:val="20"/>
              </w:rPr>
              <w:t xml:space="preserve"> </w:t>
            </w:r>
            <w:r w:rsidRPr="00F87C6E">
              <w:rPr>
                <w:sz w:val="20"/>
                <w:szCs w:val="20"/>
              </w:rPr>
              <w:t>Table</w:t>
            </w:r>
            <w:r w:rsidRPr="00F87C6E">
              <w:rPr>
                <w:spacing w:val="-6"/>
                <w:sz w:val="20"/>
                <w:szCs w:val="20"/>
              </w:rPr>
              <w:t xml:space="preserve"> </w:t>
            </w:r>
            <w:r w:rsidRPr="00F87C6E">
              <w:rPr>
                <w:sz w:val="20"/>
                <w:szCs w:val="20"/>
              </w:rPr>
              <w:t>1</w:t>
            </w:r>
            <w:r w:rsidRPr="00F87C6E">
              <w:rPr>
                <w:spacing w:val="24"/>
                <w:w w:val="99"/>
                <w:sz w:val="20"/>
                <w:szCs w:val="20"/>
              </w:rPr>
              <w:t xml:space="preserve"> </w:t>
            </w:r>
            <w:r w:rsidRPr="00F87C6E">
              <w:rPr>
                <w:spacing w:val="-1"/>
                <w:sz w:val="20"/>
                <w:szCs w:val="20"/>
              </w:rPr>
              <w:t>Column</w:t>
            </w:r>
            <w:r w:rsidRPr="00F87C6E">
              <w:rPr>
                <w:spacing w:val="-10"/>
                <w:sz w:val="20"/>
                <w:szCs w:val="20"/>
              </w:rPr>
              <w:t xml:space="preserve"> </w:t>
            </w:r>
            <w:r w:rsidRPr="00F87C6E">
              <w:rPr>
                <w:sz w:val="20"/>
                <w:szCs w:val="20"/>
              </w:rPr>
              <w:t>E)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F87C6E" w:rsidRDefault="00FE5271" w:rsidP="000F1A07">
            <w:pPr>
              <w:kinsoku w:val="0"/>
              <w:overflowPunct w:val="0"/>
              <w:autoSpaceDE w:val="0"/>
              <w:autoSpaceDN w:val="0"/>
              <w:adjustRightInd w:val="0"/>
              <w:ind w:left="102" w:right="293"/>
            </w:pPr>
            <w:r>
              <w:rPr>
                <w:sz w:val="20"/>
                <w:szCs w:val="20"/>
              </w:rPr>
              <w:t>2017</w:t>
            </w:r>
            <w:r w:rsidR="003418AF" w:rsidRPr="00F87C6E">
              <w:rPr>
                <w:spacing w:val="-11"/>
                <w:sz w:val="20"/>
                <w:szCs w:val="20"/>
              </w:rPr>
              <w:t xml:space="preserve"> </w:t>
            </w:r>
            <w:r w:rsidR="003418AF" w:rsidRPr="00F87C6E">
              <w:rPr>
                <w:spacing w:val="-1"/>
                <w:sz w:val="20"/>
                <w:szCs w:val="20"/>
              </w:rPr>
              <w:t>Adjusted</w:t>
            </w:r>
            <w:r w:rsidR="003418AF" w:rsidRPr="00F87C6E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="003418AF" w:rsidRPr="00F87C6E">
              <w:rPr>
                <w:spacing w:val="-1"/>
                <w:sz w:val="20"/>
                <w:szCs w:val="20"/>
              </w:rPr>
              <w:t>CF</w:t>
            </w:r>
          </w:p>
        </w:tc>
      </w:tr>
      <w:tr w:rsidR="003418AF" w:rsidRPr="00F87C6E" w:rsidTr="003418AF">
        <w:trPr>
          <w:trHeight w:hRule="exact" w:val="4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515352" w:rsidRDefault="003418AF" w:rsidP="000F1A07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312E13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3"/>
              <w:jc w:val="center"/>
              <w:rPr>
                <w:sz w:val="20"/>
                <w:szCs w:val="20"/>
              </w:rPr>
            </w:pPr>
            <w:r w:rsidRPr="00312E13">
              <w:rPr>
                <w:spacing w:val="-2"/>
                <w:sz w:val="20"/>
                <w:szCs w:val="20"/>
              </w:rPr>
              <w:t>(A)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312E13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"/>
              <w:jc w:val="center"/>
              <w:rPr>
                <w:sz w:val="20"/>
                <w:szCs w:val="20"/>
              </w:rPr>
            </w:pPr>
            <w:r w:rsidRPr="00312E13">
              <w:rPr>
                <w:sz w:val="20"/>
                <w:szCs w:val="20"/>
              </w:rPr>
              <w:t>(B)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312E13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"/>
              <w:jc w:val="center"/>
              <w:rPr>
                <w:sz w:val="20"/>
                <w:szCs w:val="20"/>
              </w:rPr>
            </w:pPr>
            <w:r w:rsidRPr="00312E13">
              <w:rPr>
                <w:spacing w:val="-1"/>
                <w:sz w:val="20"/>
                <w:szCs w:val="20"/>
              </w:rPr>
              <w:t>(C)</w:t>
            </w:r>
          </w:p>
          <w:p w:rsidR="003418AF" w:rsidRPr="00312E13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ind w:left="411"/>
              <w:rPr>
                <w:sz w:val="20"/>
                <w:szCs w:val="20"/>
              </w:rPr>
            </w:pPr>
            <w:r w:rsidRPr="00312E13">
              <w:rPr>
                <w:spacing w:val="-1"/>
                <w:sz w:val="20"/>
                <w:szCs w:val="20"/>
              </w:rPr>
              <w:t>(A)</w:t>
            </w:r>
            <w:r w:rsidRPr="00312E13">
              <w:rPr>
                <w:spacing w:val="-3"/>
                <w:sz w:val="20"/>
                <w:szCs w:val="20"/>
              </w:rPr>
              <w:t xml:space="preserve"> </w:t>
            </w:r>
            <w:r w:rsidRPr="00312E13">
              <w:rPr>
                <w:sz w:val="20"/>
                <w:szCs w:val="20"/>
              </w:rPr>
              <w:t>x</w:t>
            </w:r>
            <w:r w:rsidRPr="00312E13">
              <w:rPr>
                <w:spacing w:val="-4"/>
                <w:sz w:val="20"/>
                <w:szCs w:val="20"/>
              </w:rPr>
              <w:t xml:space="preserve"> </w:t>
            </w:r>
            <w:r w:rsidRPr="00312E13">
              <w:rPr>
                <w:sz w:val="20"/>
                <w:szCs w:val="20"/>
              </w:rPr>
              <w:t>(B)</w:t>
            </w:r>
          </w:p>
        </w:tc>
      </w:tr>
      <w:tr w:rsidR="003418AF" w:rsidRPr="00F87C6E" w:rsidTr="003418AF">
        <w:trPr>
          <w:trHeight w:hRule="exact"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515352" w:rsidRDefault="003418AF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2"/>
            </w:pPr>
            <w:r w:rsidRPr="00515352">
              <w:rPr>
                <w:spacing w:val="-1"/>
                <w:sz w:val="20"/>
                <w:szCs w:val="20"/>
              </w:rPr>
              <w:t>Anesthesia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312E13" w:rsidRDefault="00515352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2"/>
              <w:rPr>
                <w:sz w:val="20"/>
                <w:szCs w:val="20"/>
              </w:rPr>
            </w:pPr>
            <w:r w:rsidRPr="00312E13">
              <w:rPr>
                <w:sz w:val="20"/>
                <w:szCs w:val="20"/>
              </w:rPr>
              <w:t>25.6896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312E13" w:rsidRDefault="003204B8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2"/>
              <w:rPr>
                <w:sz w:val="20"/>
                <w:szCs w:val="20"/>
              </w:rPr>
            </w:pPr>
            <w:r w:rsidRPr="00FC76B2">
              <w:rPr>
                <w:sz w:val="18"/>
                <w:szCs w:val="18"/>
              </w:rPr>
              <w:t>1.0604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Default="00DF0E77" w:rsidP="00823FD4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2"/>
              <w:rPr>
                <w:sz w:val="20"/>
                <w:szCs w:val="20"/>
              </w:rPr>
            </w:pPr>
            <w:r w:rsidRPr="00312E13">
              <w:rPr>
                <w:sz w:val="20"/>
                <w:szCs w:val="20"/>
              </w:rPr>
              <w:t xml:space="preserve"> </w:t>
            </w:r>
            <w:r w:rsidR="003204B8" w:rsidRPr="003204B8">
              <w:rPr>
                <w:sz w:val="20"/>
                <w:szCs w:val="20"/>
              </w:rPr>
              <w:t>27.2415</w:t>
            </w:r>
          </w:p>
          <w:p w:rsidR="003204B8" w:rsidRDefault="003204B8" w:rsidP="003204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27.2415</w:t>
            </w:r>
          </w:p>
          <w:p w:rsidR="003418AF" w:rsidRPr="00312E13" w:rsidRDefault="003418AF" w:rsidP="00823FD4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2"/>
              <w:rPr>
                <w:sz w:val="20"/>
                <w:szCs w:val="20"/>
              </w:rPr>
            </w:pPr>
          </w:p>
        </w:tc>
      </w:tr>
      <w:tr w:rsidR="003418AF" w:rsidRPr="00F87C6E" w:rsidTr="00EF2E19">
        <w:trPr>
          <w:trHeight w:hRule="exact" w:val="48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F21000" w:rsidRDefault="003418AF" w:rsidP="00585515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2"/>
              <w:rPr>
                <w:highlight w:val="yellow"/>
              </w:rPr>
            </w:pPr>
            <w:r w:rsidRPr="00823FD4">
              <w:rPr>
                <w:spacing w:val="-2"/>
                <w:sz w:val="20"/>
                <w:szCs w:val="20"/>
              </w:rPr>
              <w:t>All</w:t>
            </w:r>
            <w:r w:rsidRPr="00823FD4">
              <w:rPr>
                <w:spacing w:val="-7"/>
                <w:sz w:val="20"/>
                <w:szCs w:val="20"/>
              </w:rPr>
              <w:t xml:space="preserve"> </w:t>
            </w:r>
            <w:r w:rsidR="00585515" w:rsidRPr="00823FD4">
              <w:rPr>
                <w:spacing w:val="-7"/>
                <w:sz w:val="20"/>
                <w:szCs w:val="20"/>
              </w:rPr>
              <w:t>services</w:t>
            </w:r>
            <w:r w:rsidR="00EF2E19" w:rsidRPr="00823FD4">
              <w:rPr>
                <w:spacing w:val="-1"/>
                <w:sz w:val="20"/>
                <w:szCs w:val="20"/>
              </w:rPr>
              <w:t xml:space="preserve"> other than anesthesia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515352" w:rsidRDefault="00515352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2"/>
            </w:pPr>
            <w:r w:rsidRPr="00515352">
              <w:rPr>
                <w:sz w:val="20"/>
                <w:szCs w:val="20"/>
              </w:rPr>
              <w:t>40.8451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F87C6E" w:rsidRDefault="003204B8" w:rsidP="000F1A07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2"/>
              <w:rPr>
                <w:highlight w:val="yellow"/>
              </w:rPr>
            </w:pPr>
            <w:r w:rsidRPr="00FC76B2">
              <w:rPr>
                <w:sz w:val="18"/>
                <w:szCs w:val="18"/>
              </w:rPr>
              <w:t>1.1075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AF" w:rsidRPr="00F87C6E" w:rsidRDefault="00D16CB0" w:rsidP="00823FD4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 xml:space="preserve"> </w:t>
            </w:r>
            <w:r w:rsidR="003204B8" w:rsidRPr="003204B8">
              <w:rPr>
                <w:sz w:val="20"/>
                <w:szCs w:val="20"/>
              </w:rPr>
              <w:t>45.2371</w:t>
            </w:r>
          </w:p>
        </w:tc>
      </w:tr>
    </w:tbl>
    <w:p w:rsidR="003418AF" w:rsidRPr="00756CDB" w:rsidRDefault="00756CDB" w:rsidP="00756CDB">
      <w:pPr>
        <w:ind w:left="720"/>
        <w:rPr>
          <w:sz w:val="20"/>
          <w:szCs w:val="20"/>
        </w:rPr>
      </w:pPr>
      <w:r w:rsidRPr="00756CDB">
        <w:rPr>
          <w:sz w:val="20"/>
          <w:szCs w:val="20"/>
        </w:rPr>
        <w:t>*Due to rounding</w:t>
      </w:r>
      <w:r>
        <w:rPr>
          <w:sz w:val="20"/>
          <w:szCs w:val="20"/>
        </w:rPr>
        <w:t>,</w:t>
      </w:r>
      <w:r w:rsidRPr="00756CDB">
        <w:rPr>
          <w:sz w:val="20"/>
          <w:szCs w:val="20"/>
        </w:rPr>
        <w:t xml:space="preserve"> </w:t>
      </w:r>
      <w:r>
        <w:rPr>
          <w:sz w:val="20"/>
          <w:szCs w:val="20"/>
        </w:rPr>
        <w:t>the numbers presented in the table may not precisely reflect the underlying calculations.</w:t>
      </w:r>
    </w:p>
    <w:p w:rsidR="00957B1E" w:rsidRPr="00CB4224" w:rsidRDefault="00957B1E" w:rsidP="004D797B">
      <w:pPr>
        <w:ind w:left="2160"/>
        <w:rPr>
          <w:color w:val="AEAAAA"/>
        </w:rPr>
      </w:pPr>
    </w:p>
    <w:p w:rsidR="00BA59EF" w:rsidRDefault="00F378A6" w:rsidP="0089218E">
      <w:pPr>
        <w:pStyle w:val="LowerAlphaList"/>
        <w:numPr>
          <w:ilvl w:val="1"/>
          <w:numId w:val="41"/>
        </w:numPr>
        <w:ind w:left="1080"/>
        <w:outlineLvl w:val="9"/>
      </w:pPr>
      <w:r w:rsidRPr="0055488B">
        <w:rPr>
          <w:i/>
        </w:rPr>
        <w:t xml:space="preserve">Statewide Average </w:t>
      </w:r>
      <w:proofErr w:type="spellStart"/>
      <w:r w:rsidR="00620E5E" w:rsidRPr="0055488B">
        <w:rPr>
          <w:i/>
        </w:rPr>
        <w:t>GAFs</w:t>
      </w:r>
      <w:proofErr w:type="spellEnd"/>
      <w:r w:rsidR="00620E5E" w:rsidRPr="00FD6850">
        <w:t xml:space="preserve"> </w:t>
      </w:r>
      <w:r w:rsidR="0055488B">
        <w:t xml:space="preserve">- </w:t>
      </w:r>
      <w:r w:rsidR="00620E5E" w:rsidRPr="00FD6850">
        <w:t>The</w:t>
      </w:r>
      <w:r w:rsidR="004D797B" w:rsidRPr="00FD6850">
        <w:t xml:space="preserve"> Division has </w:t>
      </w:r>
      <w:r w:rsidR="00F07C3F" w:rsidRPr="00FD6850">
        <w:t xml:space="preserve">evaluated the need to </w:t>
      </w:r>
      <w:r w:rsidR="004D797B" w:rsidRPr="00FD6850">
        <w:t>update the statewide geographic adjustment factors (</w:t>
      </w:r>
      <w:proofErr w:type="spellStart"/>
      <w:r w:rsidR="004D797B" w:rsidRPr="00FD6850">
        <w:t>GAFs</w:t>
      </w:r>
      <w:proofErr w:type="spellEnd"/>
      <w:r w:rsidR="004D797B" w:rsidRPr="00FD6850">
        <w:t xml:space="preserve">) based on the </w:t>
      </w:r>
      <w:r w:rsidR="0009277A" w:rsidRPr="00FD6850">
        <w:t xml:space="preserve">CMS’ </w:t>
      </w:r>
      <w:r w:rsidR="00FE5271" w:rsidRPr="00FD6850">
        <w:t>201</w:t>
      </w:r>
      <w:r w:rsidR="00AE4D5D">
        <w:t>8</w:t>
      </w:r>
      <w:r w:rsidR="004D797B" w:rsidRPr="00FD6850">
        <w:t xml:space="preserve"> </w:t>
      </w:r>
      <w:r w:rsidR="00795DB4" w:rsidRPr="00FD6850">
        <w:t xml:space="preserve">California </w:t>
      </w:r>
      <w:r w:rsidR="004D797B" w:rsidRPr="00FD6850">
        <w:t>locality-specific geographic practice cost ind</w:t>
      </w:r>
      <w:r w:rsidRPr="00FD6850">
        <w:t>ices</w:t>
      </w:r>
      <w:r w:rsidR="004D797B" w:rsidRPr="00FD6850">
        <w:t xml:space="preserve"> (</w:t>
      </w:r>
      <w:proofErr w:type="spellStart"/>
      <w:r w:rsidR="004D797B" w:rsidRPr="00FD6850">
        <w:t>GCPIs</w:t>
      </w:r>
      <w:proofErr w:type="spellEnd"/>
      <w:r w:rsidR="00620E5E">
        <w:t>) and 201</w:t>
      </w:r>
      <w:r w:rsidR="00AE4D5D">
        <w:t xml:space="preserve">5 </w:t>
      </w:r>
      <w:proofErr w:type="spellStart"/>
      <w:r w:rsidR="00620E5E">
        <w:t>WCIS</w:t>
      </w:r>
      <w:proofErr w:type="spellEnd"/>
      <w:r w:rsidR="00620E5E">
        <w:t xml:space="preserve"> data</w:t>
      </w:r>
      <w:r w:rsidR="004D797B" w:rsidRPr="00FD6850">
        <w:t xml:space="preserve">. The statewide </w:t>
      </w:r>
      <w:proofErr w:type="spellStart"/>
      <w:r w:rsidR="004D797B" w:rsidRPr="00FD6850">
        <w:t>GAFs</w:t>
      </w:r>
      <w:proofErr w:type="spellEnd"/>
      <w:r w:rsidR="004D797B" w:rsidRPr="00FD6850">
        <w:t xml:space="preserve"> are an average of the locality-specific </w:t>
      </w:r>
      <w:proofErr w:type="spellStart"/>
      <w:r w:rsidR="004D797B" w:rsidRPr="00FD6850">
        <w:t>GPCIs</w:t>
      </w:r>
      <w:proofErr w:type="spellEnd"/>
      <w:r w:rsidR="004D797B" w:rsidRPr="00FD6850">
        <w:t xml:space="preserve"> for each cost component weighted by each locality’s estimated share of </w:t>
      </w:r>
      <w:proofErr w:type="spellStart"/>
      <w:r w:rsidR="004D797B" w:rsidRPr="00FD6850">
        <w:t>RVUs</w:t>
      </w:r>
      <w:proofErr w:type="spellEnd"/>
      <w:r w:rsidR="004D797B" w:rsidRPr="00FD6850">
        <w:t xml:space="preserve"> for the applicable cost component. The weighting results in statewide values that are estimated to be budget neutral to the allowances that would result from using locality-specific </w:t>
      </w:r>
      <w:proofErr w:type="spellStart"/>
      <w:r w:rsidR="004D797B" w:rsidRPr="00FD6850">
        <w:t>GPCI</w:t>
      </w:r>
      <w:proofErr w:type="spellEnd"/>
      <w:r w:rsidR="004D797B" w:rsidRPr="00FD6850">
        <w:t xml:space="preserve"> values. </w:t>
      </w:r>
    </w:p>
    <w:p w:rsidR="00BA59EF" w:rsidRDefault="00BA59EF" w:rsidP="008C5E68">
      <w:pPr>
        <w:widowControl w:val="0"/>
        <w:spacing w:after="120"/>
        <w:ind w:left="360"/>
      </w:pPr>
      <w:r w:rsidRPr="00D03492">
        <w:t>Be</w:t>
      </w:r>
      <w:r>
        <w:t>ginning in 2017, pursuant to the Protecting Access to Medicare Act (</w:t>
      </w:r>
      <w:proofErr w:type="spellStart"/>
      <w:r>
        <w:t>PAMA</w:t>
      </w:r>
      <w:proofErr w:type="spellEnd"/>
      <w:r>
        <w:t xml:space="preserve">), California payment localities transitioned to Metropolitan Statistical Areas, to be phased in over a 6-year period. The number of payment localities increase from 9 under the previous locality structure to 27 under the </w:t>
      </w:r>
      <w:proofErr w:type="spellStart"/>
      <w:r>
        <w:t>MSA</w:t>
      </w:r>
      <w:proofErr w:type="spellEnd"/>
      <w:r>
        <w:t>-based locality structure.</w:t>
      </w:r>
    </w:p>
    <w:p w:rsidR="00BA59EF" w:rsidRDefault="00BA59EF" w:rsidP="008C5E68">
      <w:pPr>
        <w:widowControl w:val="0"/>
        <w:spacing w:after="120"/>
        <w:ind w:left="360"/>
      </w:pPr>
      <w:r>
        <w:lastRenderedPageBreak/>
        <w:t xml:space="preserve">However, both the current localities and the </w:t>
      </w:r>
      <w:proofErr w:type="spellStart"/>
      <w:r>
        <w:t>MSA</w:t>
      </w:r>
      <w:proofErr w:type="spellEnd"/>
      <w:r w:rsidR="00F87064">
        <w:t>-</w:t>
      </w:r>
      <w:r>
        <w:t xml:space="preserve">based localities are comprised of various component counties, and in some localities only some of the component counties are subject to the blended phase-in and hold harmless provisions required by the Act. Although the modifications to California’s locality structure increase the number of localities from 9 under the current locality structure, to 27 under the </w:t>
      </w:r>
      <w:proofErr w:type="spellStart"/>
      <w:r>
        <w:t>MSA</w:t>
      </w:r>
      <w:proofErr w:type="spellEnd"/>
      <w:r>
        <w:t xml:space="preserve">-based locality structure, for purposes of payment, the actual number of localities under the </w:t>
      </w:r>
      <w:proofErr w:type="spellStart"/>
      <w:r>
        <w:t>MSA</w:t>
      </w:r>
      <w:proofErr w:type="spellEnd"/>
      <w:r w:rsidR="00F87064">
        <w:t>-</w:t>
      </w:r>
      <w:r>
        <w:t xml:space="preserve">based locality structure would be 32 to account for instances where unique locality numbers are needed. Additionally, for some of these new localities, </w:t>
      </w:r>
      <w:proofErr w:type="spellStart"/>
      <w:r>
        <w:t>PAMA</w:t>
      </w:r>
      <w:proofErr w:type="spellEnd"/>
      <w:r>
        <w:t xml:space="preserve"> requires that the geographic practice cost index </w:t>
      </w:r>
      <w:proofErr w:type="spellStart"/>
      <w:r>
        <w:t>GPCI</w:t>
      </w:r>
      <w:proofErr w:type="spellEnd"/>
      <w:r>
        <w:t xml:space="preserve"> values that would be realized under the new </w:t>
      </w:r>
      <w:proofErr w:type="spellStart"/>
      <w:r>
        <w:t>MSA</w:t>
      </w:r>
      <w:proofErr w:type="spellEnd"/>
      <w:r w:rsidR="00F87064">
        <w:t>-</w:t>
      </w:r>
      <w:r>
        <w:t xml:space="preserve">based locality structure are gradually phased in (in one-sixth increments) over a period of 6 years. </w:t>
      </w:r>
      <w:r w:rsidR="0003628D">
        <w:t xml:space="preserve">For California workers’ compensation, </w:t>
      </w:r>
      <w:r w:rsidR="00DF63A1">
        <w:t>the Statewide</w:t>
      </w:r>
      <w:r>
        <w:t xml:space="preserve"> </w:t>
      </w:r>
      <w:proofErr w:type="spellStart"/>
      <w:r>
        <w:t>GAFs</w:t>
      </w:r>
      <w:proofErr w:type="spellEnd"/>
      <w:r>
        <w:t xml:space="preserve"> were </w:t>
      </w:r>
      <w:r w:rsidR="0003628D">
        <w:t>calculated</w:t>
      </w:r>
      <w:r>
        <w:t xml:space="preserve"> based on the </w:t>
      </w:r>
      <w:r w:rsidR="007B64A4">
        <w:t xml:space="preserve">32 </w:t>
      </w:r>
      <w:r w:rsidR="00DF63A1">
        <w:t xml:space="preserve">localities </w:t>
      </w:r>
      <w:r>
        <w:t>and 201</w:t>
      </w:r>
      <w:r w:rsidR="00C51BCC">
        <w:t>5</w:t>
      </w:r>
      <w:r>
        <w:t xml:space="preserve"> </w:t>
      </w:r>
      <w:proofErr w:type="spellStart"/>
      <w:r>
        <w:t>WCIS</w:t>
      </w:r>
      <w:proofErr w:type="spellEnd"/>
      <w:r>
        <w:t xml:space="preserve"> data</w:t>
      </w:r>
      <w:r w:rsidR="00F87064">
        <w:t>.</w:t>
      </w:r>
    </w:p>
    <w:p w:rsidR="004D797B" w:rsidRPr="00FD6850" w:rsidRDefault="004D797B" w:rsidP="008C5E68">
      <w:pPr>
        <w:spacing w:after="120"/>
        <w:ind w:left="360"/>
      </w:pPr>
      <w:r w:rsidRPr="00FD6850">
        <w:t xml:space="preserve">The </w:t>
      </w:r>
      <w:r w:rsidR="007F0E26">
        <w:t>adjusted</w:t>
      </w:r>
      <w:r w:rsidRPr="00FD6850">
        <w:t xml:space="preserve"> average statewide </w:t>
      </w:r>
      <w:proofErr w:type="spellStart"/>
      <w:r w:rsidRPr="00FD6850">
        <w:t>GAFs</w:t>
      </w:r>
      <w:proofErr w:type="spellEnd"/>
      <w:r w:rsidR="00795DB4" w:rsidRPr="00FD6850">
        <w:t xml:space="preserve"> for</w:t>
      </w:r>
      <w:r w:rsidR="00F87064">
        <w:t xml:space="preserve"> services</w:t>
      </w:r>
      <w:r w:rsidR="00795DB4" w:rsidRPr="00FD6850">
        <w:t xml:space="preserve"> other than anesthesia</w:t>
      </w:r>
      <w:r w:rsidRPr="00FD6850">
        <w:t xml:space="preserve"> are:</w:t>
      </w:r>
    </w:p>
    <w:p w:rsidR="004D797B" w:rsidRPr="00FD6850" w:rsidRDefault="004D797B" w:rsidP="008C5E68">
      <w:pPr>
        <w:spacing w:after="120"/>
        <w:ind w:left="1080"/>
        <w:rPr>
          <w:strike/>
        </w:rPr>
      </w:pPr>
      <w:r w:rsidRPr="00FD6850">
        <w:t xml:space="preserve">Average Statewide Work GAF: </w:t>
      </w:r>
      <w:r w:rsidR="00A66736" w:rsidRPr="00A66736">
        <w:t>1.041</w:t>
      </w:r>
    </w:p>
    <w:p w:rsidR="004D797B" w:rsidRPr="00FD6850" w:rsidRDefault="004D797B" w:rsidP="008C5E68">
      <w:pPr>
        <w:spacing w:after="120"/>
        <w:ind w:left="1080"/>
        <w:rPr>
          <w:strike/>
        </w:rPr>
      </w:pPr>
      <w:r w:rsidRPr="00FD6850">
        <w:t xml:space="preserve">Average Statewide Practice Expense GAF: </w:t>
      </w:r>
      <w:r w:rsidR="00A66736" w:rsidRPr="00A66736">
        <w:t>1.166</w:t>
      </w:r>
    </w:p>
    <w:p w:rsidR="004D797B" w:rsidRPr="00FD6850" w:rsidRDefault="004D797B" w:rsidP="008C5E68">
      <w:pPr>
        <w:spacing w:after="120"/>
        <w:ind w:left="1080"/>
        <w:rPr>
          <w:strike/>
        </w:rPr>
      </w:pPr>
      <w:r w:rsidRPr="00FD6850">
        <w:t xml:space="preserve">Average Statewide Malpractice Expense GAF: </w:t>
      </w:r>
      <w:r w:rsidR="00A66736" w:rsidRPr="00A66736">
        <w:t>0.605</w:t>
      </w:r>
    </w:p>
    <w:p w:rsidR="00C655DE" w:rsidRDefault="004D797B" w:rsidP="008C5E68">
      <w:pPr>
        <w:spacing w:after="120"/>
        <w:ind w:left="360"/>
      </w:pPr>
      <w:r w:rsidRPr="00A86BDC">
        <w:t xml:space="preserve">The average statewide anesthesia GAF is a weighted average of the locality-specific anesthesia GAF calculated using the </w:t>
      </w:r>
      <w:r w:rsidR="005D4E0D" w:rsidRPr="00A86BDC">
        <w:t xml:space="preserve">CMS’ </w:t>
      </w:r>
      <w:r w:rsidR="00FE5271" w:rsidRPr="00A86BDC">
        <w:t>201</w:t>
      </w:r>
      <w:r w:rsidR="004C1D09">
        <w:t>8</w:t>
      </w:r>
      <w:r w:rsidRPr="00A86BDC">
        <w:t xml:space="preserve"> </w:t>
      </w:r>
      <w:hyperlink r:id="rId10" w:history="1">
        <w:r w:rsidRPr="0030592F">
          <w:rPr>
            <w:rStyle w:val="Hyperlink"/>
            <w:color w:val="0070C0"/>
            <w:u w:val="none"/>
          </w:rPr>
          <w:t>anesthesia cost shares</w:t>
        </w:r>
      </w:hyperlink>
      <w:r w:rsidRPr="00A86BDC">
        <w:t xml:space="preserve"> available at: </w:t>
      </w:r>
      <w:hyperlink r:id="rId11" w:tooltip="https://www.cms.gov/Center/Provider-Type/Anesthesiologists-Center.html" w:history="1">
        <w:r w:rsidR="00084C27" w:rsidRPr="00D92E0C">
          <w:rPr>
            <w:rStyle w:val="Hyperlink"/>
          </w:rPr>
          <w:t>https://www.cms.gov/Center/Provider-Type/Anesthesiologists-Center.html</w:t>
        </w:r>
      </w:hyperlink>
      <w:r w:rsidRPr="00A86BDC">
        <w:t xml:space="preserve">. </w:t>
      </w:r>
      <w:r w:rsidR="004E14B8" w:rsidRPr="00A86BDC">
        <w:t xml:space="preserve">The </w:t>
      </w:r>
      <w:r w:rsidR="0004585D" w:rsidRPr="00A86BDC">
        <w:t>three</w:t>
      </w:r>
      <w:r w:rsidR="004E14B8" w:rsidRPr="00A86BDC">
        <w:t xml:space="preserve"> anesthesia cost shares are contained in the folder “</w:t>
      </w:r>
      <w:r w:rsidR="004C1D09" w:rsidRPr="004C1D09">
        <w:t xml:space="preserve">2018 Anesthesia Conversion Factors [ZIP, </w:t>
      </w:r>
      <w:proofErr w:type="spellStart"/>
      <w:r w:rsidR="004C1D09" w:rsidRPr="004C1D09">
        <w:t>19KB</w:t>
      </w:r>
      <w:proofErr w:type="spellEnd"/>
      <w:r w:rsidR="004C1D09" w:rsidRPr="004C1D09">
        <w:t>]</w:t>
      </w:r>
      <w:r w:rsidR="004E14B8" w:rsidRPr="00A86BDC">
        <w:t>” in the excel document “</w:t>
      </w:r>
      <w:r w:rsidR="004C1D09">
        <w:t xml:space="preserve">CMS-1676-F </w:t>
      </w:r>
      <w:r w:rsidR="00A8797C" w:rsidRPr="00A86BDC">
        <w:t>CY 201</w:t>
      </w:r>
      <w:r w:rsidR="004C1D09">
        <w:t>8</w:t>
      </w:r>
      <w:r w:rsidR="00A8797C" w:rsidRPr="00A86BDC">
        <w:t xml:space="preserve"> </w:t>
      </w:r>
      <w:r w:rsidR="004C1D09">
        <w:t>Anesthesia Conversion Factors</w:t>
      </w:r>
      <w:r w:rsidR="004E14B8" w:rsidRPr="00A86BDC">
        <w:t xml:space="preserve">” in the “Anesthesia Shares” excel sheet. </w:t>
      </w:r>
      <w:r w:rsidRPr="00A86BDC">
        <w:t>Th</w:t>
      </w:r>
      <w:r w:rsidR="00C655DE" w:rsidRPr="00A86BDC">
        <w:t>ese cost shares are:</w:t>
      </w:r>
    </w:p>
    <w:p w:rsidR="00873516" w:rsidRPr="00A86BDC" w:rsidRDefault="00873516" w:rsidP="008C5E68">
      <w:pPr>
        <w:spacing w:after="120"/>
        <w:ind w:left="360"/>
      </w:pPr>
      <w:r>
        <w:rPr>
          <w:b/>
          <w:bCs/>
          <w:i/>
          <w:iCs/>
          <w:color w:val="000000"/>
          <w:sz w:val="26"/>
          <w:szCs w:val="26"/>
        </w:rPr>
        <w:t>2018 Anesthesia Shares</w:t>
      </w:r>
    </w:p>
    <w:tbl>
      <w:tblPr>
        <w:tblW w:w="3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040"/>
        <w:gridCol w:w="1040"/>
      </w:tblGrid>
      <w:tr w:rsidR="004C1D09" w:rsidTr="00873516">
        <w:trPr>
          <w:trHeight w:val="440"/>
          <w:tblHeader/>
        </w:trPr>
        <w:tc>
          <w:tcPr>
            <w:tcW w:w="1040" w:type="dxa"/>
            <w:shd w:val="clear" w:color="000000" w:fill="FFFFFF"/>
            <w:vAlign w:val="bottom"/>
            <w:hideMark/>
          </w:tcPr>
          <w:p w:rsidR="004C1D09" w:rsidRDefault="004C1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Work</w:t>
            </w:r>
          </w:p>
        </w:tc>
        <w:tc>
          <w:tcPr>
            <w:tcW w:w="1040" w:type="dxa"/>
            <w:shd w:val="clear" w:color="000000" w:fill="FFFFFF"/>
            <w:vAlign w:val="bottom"/>
            <w:hideMark/>
          </w:tcPr>
          <w:p w:rsidR="004C1D09" w:rsidRDefault="004C1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</w:t>
            </w:r>
          </w:p>
        </w:tc>
        <w:tc>
          <w:tcPr>
            <w:tcW w:w="1040" w:type="dxa"/>
            <w:shd w:val="clear" w:color="000000" w:fill="FFFFFF"/>
            <w:vAlign w:val="bottom"/>
            <w:hideMark/>
          </w:tcPr>
          <w:p w:rsidR="004C1D09" w:rsidRDefault="004C1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MP</w:t>
            </w:r>
          </w:p>
        </w:tc>
      </w:tr>
      <w:tr w:rsidR="004C1D09" w:rsidTr="00873516">
        <w:trPr>
          <w:trHeight w:val="343"/>
        </w:trPr>
        <w:tc>
          <w:tcPr>
            <w:tcW w:w="1040" w:type="dxa"/>
            <w:shd w:val="clear" w:color="000000" w:fill="FFFFFF"/>
            <w:vAlign w:val="bottom"/>
            <w:hideMark/>
          </w:tcPr>
          <w:p w:rsidR="004C1D09" w:rsidRDefault="004C1D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1040" w:type="dxa"/>
            <w:shd w:val="clear" w:color="000000" w:fill="FFFFFF"/>
            <w:vAlign w:val="bottom"/>
            <w:hideMark/>
          </w:tcPr>
          <w:p w:rsidR="004C1D09" w:rsidRDefault="004C1D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040" w:type="dxa"/>
            <w:shd w:val="clear" w:color="000000" w:fill="FFFFFF"/>
            <w:vAlign w:val="bottom"/>
            <w:hideMark/>
          </w:tcPr>
          <w:p w:rsidR="004C1D09" w:rsidRDefault="004C1D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0.061</w:t>
            </w:r>
          </w:p>
        </w:tc>
      </w:tr>
    </w:tbl>
    <w:p w:rsidR="004D797B" w:rsidRDefault="004D797B" w:rsidP="00515352">
      <w:pPr>
        <w:ind w:left="360"/>
      </w:pPr>
      <w:r>
        <w:t>The weighting factor is each locality’s estimated share of allo</w:t>
      </w:r>
      <w:r w:rsidR="00816D5D">
        <w:t xml:space="preserve">wances for anesthesia </w:t>
      </w:r>
      <w:r w:rsidR="00C655DE">
        <w:t>services.</w:t>
      </w:r>
      <w:r w:rsidR="005609F6">
        <w:t xml:space="preserve"> </w:t>
      </w:r>
      <w:r>
        <w:t xml:space="preserve">The calculated </w:t>
      </w:r>
      <w:r w:rsidR="00FE5271">
        <w:t>201</w:t>
      </w:r>
      <w:r w:rsidR="00110C90">
        <w:t>8</w:t>
      </w:r>
      <w:r w:rsidR="004F2035">
        <w:t xml:space="preserve"> </w:t>
      </w:r>
      <w:r w:rsidR="00EE5AEA">
        <w:t>A</w:t>
      </w:r>
      <w:r>
        <w:t xml:space="preserve">verage </w:t>
      </w:r>
      <w:r w:rsidR="00EE5AEA">
        <w:t>S</w:t>
      </w:r>
      <w:r>
        <w:t xml:space="preserve">tatewide </w:t>
      </w:r>
      <w:r w:rsidR="00EE5AEA">
        <w:t>A</w:t>
      </w:r>
      <w:r>
        <w:t>nesthesia GAF is:</w:t>
      </w:r>
      <w:r w:rsidR="0088142C" w:rsidRPr="0088142C">
        <w:t xml:space="preserve"> </w:t>
      </w:r>
      <w:r w:rsidR="00110C90" w:rsidRPr="00110C90">
        <w:t>1.034</w:t>
      </w:r>
      <w:r w:rsidR="00215E03" w:rsidRPr="00A86BDC">
        <w:t>.</w:t>
      </w:r>
    </w:p>
    <w:sectPr w:rsidR="004D797B" w:rsidSect="00A94043">
      <w:footerReference w:type="default" r:id="rId12"/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11" w:rsidRDefault="00161111">
      <w:r>
        <w:separator/>
      </w:r>
    </w:p>
  </w:endnote>
  <w:endnote w:type="continuationSeparator" w:id="0">
    <w:p w:rsidR="00161111" w:rsidRDefault="0016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1" w:rsidRPr="006B2C29" w:rsidRDefault="008E7D31" w:rsidP="006B2C29">
    <w:pPr>
      <w:pStyle w:val="Footer"/>
      <w:rPr>
        <w:sz w:val="18"/>
        <w:szCs w:val="18"/>
      </w:rPr>
    </w:pPr>
  </w:p>
  <w:p w:rsidR="008E7D31" w:rsidRPr="00F37789" w:rsidRDefault="008E7D31" w:rsidP="006B2C29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  <w:sz w:val="20"/>
        <w:szCs w:val="20"/>
      </w:rPr>
    </w:pPr>
    <w:r w:rsidRPr="00F37789">
      <w:rPr>
        <w:rFonts w:ascii="Cambria" w:hAnsi="Cambria"/>
        <w:sz w:val="20"/>
        <w:szCs w:val="20"/>
      </w:rPr>
      <w:t>Physician and Non-Physician Practitioner Fee Schedule</w:t>
    </w:r>
  </w:p>
  <w:p w:rsidR="008E7D31" w:rsidRPr="00F37789" w:rsidRDefault="002914D1" w:rsidP="006B2C29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January </w:t>
    </w:r>
    <w:r w:rsidR="008E7D31">
      <w:rPr>
        <w:rFonts w:ascii="Cambria" w:hAnsi="Cambria"/>
        <w:sz w:val="20"/>
        <w:szCs w:val="20"/>
      </w:rPr>
      <w:t>1,</w:t>
    </w:r>
    <w:r w:rsidR="008E7D31" w:rsidRPr="00F37789">
      <w:rPr>
        <w:rFonts w:ascii="Cambria" w:hAnsi="Cambria"/>
        <w:sz w:val="20"/>
        <w:szCs w:val="20"/>
      </w:rPr>
      <w:t xml:space="preserve"> 201</w:t>
    </w:r>
    <w:r>
      <w:rPr>
        <w:rFonts w:ascii="Cambria" w:hAnsi="Cambria"/>
        <w:sz w:val="20"/>
        <w:szCs w:val="20"/>
      </w:rPr>
      <w:t>8</w:t>
    </w:r>
    <w:r w:rsidR="008E7D31" w:rsidRPr="00F37789">
      <w:rPr>
        <w:rFonts w:ascii="Cambria" w:hAnsi="Cambria"/>
        <w:sz w:val="20"/>
        <w:szCs w:val="20"/>
      </w:rPr>
      <w:t xml:space="preserve"> Update:  Explanation of Changes</w:t>
    </w:r>
    <w:r w:rsidR="008E7D31" w:rsidRPr="00F37789">
      <w:rPr>
        <w:rFonts w:ascii="Cambria" w:hAnsi="Cambria"/>
        <w:sz w:val="20"/>
        <w:szCs w:val="20"/>
      </w:rPr>
      <w:tab/>
    </w:r>
    <w:r w:rsidR="008E7D31" w:rsidRPr="00C968C8">
      <w:rPr>
        <w:rFonts w:ascii="Cambria" w:hAnsi="Cambria"/>
        <w:sz w:val="20"/>
        <w:szCs w:val="20"/>
      </w:rPr>
      <w:t xml:space="preserve">Page </w:t>
    </w:r>
    <w:r w:rsidR="008E7D31" w:rsidRPr="00C968C8">
      <w:rPr>
        <w:rFonts w:ascii="Cambria" w:hAnsi="Cambria"/>
        <w:sz w:val="20"/>
        <w:szCs w:val="20"/>
      </w:rPr>
      <w:fldChar w:fldCharType="begin"/>
    </w:r>
    <w:r w:rsidR="008E7D31" w:rsidRPr="00C968C8">
      <w:rPr>
        <w:rFonts w:ascii="Cambria" w:hAnsi="Cambria"/>
        <w:sz w:val="20"/>
        <w:szCs w:val="20"/>
      </w:rPr>
      <w:instrText xml:space="preserve"> PAGE  \* Arabic  \* MERGEFORMAT </w:instrText>
    </w:r>
    <w:r w:rsidR="008E7D31" w:rsidRPr="00C968C8">
      <w:rPr>
        <w:rFonts w:ascii="Cambria" w:hAnsi="Cambria"/>
        <w:sz w:val="20"/>
        <w:szCs w:val="20"/>
      </w:rPr>
      <w:fldChar w:fldCharType="separate"/>
    </w:r>
    <w:r w:rsidR="00873516">
      <w:rPr>
        <w:rFonts w:ascii="Cambria" w:hAnsi="Cambria"/>
        <w:noProof/>
        <w:sz w:val="20"/>
        <w:szCs w:val="20"/>
      </w:rPr>
      <w:t>5</w:t>
    </w:r>
    <w:r w:rsidR="008E7D31" w:rsidRPr="00C968C8">
      <w:rPr>
        <w:rFonts w:ascii="Cambria" w:hAnsi="Cambria"/>
        <w:sz w:val="20"/>
        <w:szCs w:val="20"/>
      </w:rPr>
      <w:fldChar w:fldCharType="end"/>
    </w:r>
    <w:r w:rsidR="008E7D31" w:rsidRPr="00C968C8">
      <w:rPr>
        <w:rFonts w:ascii="Cambria" w:hAnsi="Cambria"/>
        <w:sz w:val="20"/>
        <w:szCs w:val="20"/>
      </w:rPr>
      <w:t xml:space="preserve"> of </w:t>
    </w:r>
    <w:r w:rsidR="008E7D31" w:rsidRPr="00C968C8">
      <w:rPr>
        <w:rFonts w:ascii="Cambria" w:hAnsi="Cambria"/>
        <w:sz w:val="20"/>
        <w:szCs w:val="20"/>
      </w:rPr>
      <w:fldChar w:fldCharType="begin"/>
    </w:r>
    <w:r w:rsidR="008E7D31" w:rsidRPr="00C968C8">
      <w:rPr>
        <w:rFonts w:ascii="Cambria" w:hAnsi="Cambria"/>
        <w:sz w:val="20"/>
        <w:szCs w:val="20"/>
      </w:rPr>
      <w:instrText xml:space="preserve"> NUMPAGES  \* Arabic  \* MERGEFORMAT </w:instrText>
    </w:r>
    <w:r w:rsidR="008E7D31" w:rsidRPr="00C968C8">
      <w:rPr>
        <w:rFonts w:ascii="Cambria" w:hAnsi="Cambria"/>
        <w:sz w:val="20"/>
        <w:szCs w:val="20"/>
      </w:rPr>
      <w:fldChar w:fldCharType="separate"/>
    </w:r>
    <w:r w:rsidR="00873516">
      <w:rPr>
        <w:rFonts w:ascii="Cambria" w:hAnsi="Cambria"/>
        <w:noProof/>
        <w:sz w:val="20"/>
        <w:szCs w:val="20"/>
      </w:rPr>
      <w:t>7</w:t>
    </w:r>
    <w:r w:rsidR="008E7D31" w:rsidRPr="00C968C8">
      <w:rPr>
        <w:rFonts w:ascii="Cambria" w:hAnsi="Cambria"/>
        <w:sz w:val="20"/>
        <w:szCs w:val="20"/>
      </w:rPr>
      <w:fldChar w:fldCharType="end"/>
    </w:r>
  </w:p>
  <w:p w:rsidR="008E7D31" w:rsidRPr="00F37789" w:rsidRDefault="008E7D31" w:rsidP="006B2C29">
    <w:pPr>
      <w:pStyle w:val="Footer"/>
      <w:rPr>
        <w:sz w:val="20"/>
        <w:szCs w:val="20"/>
      </w:rPr>
    </w:pPr>
  </w:p>
  <w:p w:rsidR="008E7D31" w:rsidRPr="006B2C29" w:rsidRDefault="008E7D31" w:rsidP="006B2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11" w:rsidRDefault="00161111">
      <w:r>
        <w:separator/>
      </w:r>
    </w:p>
  </w:footnote>
  <w:footnote w:type="continuationSeparator" w:id="0">
    <w:p w:rsidR="00161111" w:rsidRDefault="0016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DB5"/>
    <w:multiLevelType w:val="hybridMultilevel"/>
    <w:tmpl w:val="E194A7A6"/>
    <w:lvl w:ilvl="0" w:tplc="C42EB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0362"/>
    <w:multiLevelType w:val="hybridMultilevel"/>
    <w:tmpl w:val="0C0206CC"/>
    <w:lvl w:ilvl="0" w:tplc="3496AC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B60B9"/>
    <w:multiLevelType w:val="multilevel"/>
    <w:tmpl w:val="78283A7E"/>
    <w:lvl w:ilvl="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>
    <w:nsid w:val="0DD30C26"/>
    <w:multiLevelType w:val="hybridMultilevel"/>
    <w:tmpl w:val="005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30B30"/>
    <w:multiLevelType w:val="hybridMultilevel"/>
    <w:tmpl w:val="557E32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A2349D"/>
    <w:multiLevelType w:val="hybridMultilevel"/>
    <w:tmpl w:val="7D3AADC6"/>
    <w:lvl w:ilvl="0" w:tplc="FFFFFFFF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208282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46C89"/>
    <w:multiLevelType w:val="hybridMultilevel"/>
    <w:tmpl w:val="8FFE831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79DF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534DC"/>
    <w:multiLevelType w:val="hybridMultilevel"/>
    <w:tmpl w:val="D2B4F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7028F"/>
    <w:multiLevelType w:val="hybridMultilevel"/>
    <w:tmpl w:val="A9A813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874148A"/>
    <w:multiLevelType w:val="hybridMultilevel"/>
    <w:tmpl w:val="2D8A6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BA5E7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A6618"/>
    <w:multiLevelType w:val="hybridMultilevel"/>
    <w:tmpl w:val="EADA730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0F7FBB"/>
    <w:multiLevelType w:val="hybridMultilevel"/>
    <w:tmpl w:val="479486CA"/>
    <w:lvl w:ilvl="0" w:tplc="B10A7EC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906EB4"/>
    <w:multiLevelType w:val="hybridMultilevel"/>
    <w:tmpl w:val="6A14EDB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C64572"/>
    <w:multiLevelType w:val="hybridMultilevel"/>
    <w:tmpl w:val="F8AEF7E8"/>
    <w:lvl w:ilvl="0" w:tplc="5246D5A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243B6"/>
    <w:multiLevelType w:val="hybridMultilevel"/>
    <w:tmpl w:val="DDDCC876"/>
    <w:lvl w:ilvl="0" w:tplc="6A4689E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07275B"/>
    <w:multiLevelType w:val="multilevel"/>
    <w:tmpl w:val="78283A7E"/>
    <w:lvl w:ilvl="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7">
    <w:nsid w:val="43D46B57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E2FEA"/>
    <w:multiLevelType w:val="hybridMultilevel"/>
    <w:tmpl w:val="C27A4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21138D"/>
    <w:multiLevelType w:val="hybridMultilevel"/>
    <w:tmpl w:val="D4A8AEE0"/>
    <w:lvl w:ilvl="0" w:tplc="2782FF8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6F3550"/>
    <w:multiLevelType w:val="hybridMultilevel"/>
    <w:tmpl w:val="CFF0DB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E119F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153CAA"/>
    <w:multiLevelType w:val="hybridMultilevel"/>
    <w:tmpl w:val="2FF4F95A"/>
    <w:lvl w:ilvl="0" w:tplc="5246D5A8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EC5116"/>
    <w:multiLevelType w:val="hybridMultilevel"/>
    <w:tmpl w:val="69DED2B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39E7"/>
    <w:multiLevelType w:val="hybridMultilevel"/>
    <w:tmpl w:val="ADDA254A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361A09"/>
    <w:multiLevelType w:val="hybridMultilevel"/>
    <w:tmpl w:val="8AAC7162"/>
    <w:lvl w:ilvl="0" w:tplc="77DCC950">
      <w:start w:val="1"/>
      <w:numFmt w:val="decimal"/>
      <w:lvlText w:val="%1)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790FD0"/>
    <w:multiLevelType w:val="hybridMultilevel"/>
    <w:tmpl w:val="78283A7E"/>
    <w:lvl w:ilvl="0" w:tplc="0ADCDC2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7">
    <w:nsid w:val="6168243E"/>
    <w:multiLevelType w:val="hybridMultilevel"/>
    <w:tmpl w:val="454CD6D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2B5E"/>
    <w:multiLevelType w:val="hybridMultilevel"/>
    <w:tmpl w:val="D3FABB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8B5498"/>
    <w:multiLevelType w:val="multilevel"/>
    <w:tmpl w:val="AF22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BF01AF"/>
    <w:multiLevelType w:val="multilevel"/>
    <w:tmpl w:val="F3E416FA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4E1B0E"/>
    <w:multiLevelType w:val="hybridMultilevel"/>
    <w:tmpl w:val="55946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FE41FB"/>
    <w:multiLevelType w:val="hybridMultilevel"/>
    <w:tmpl w:val="0C6E576C"/>
    <w:lvl w:ilvl="0" w:tplc="3698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CE9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AAF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CCE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30F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A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C66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C0DD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00D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5E5A09"/>
    <w:multiLevelType w:val="hybridMultilevel"/>
    <w:tmpl w:val="8C5E72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6BA5E7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E5D37"/>
    <w:multiLevelType w:val="hybridMultilevel"/>
    <w:tmpl w:val="870070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9CA0B4D"/>
    <w:multiLevelType w:val="hybridMultilevel"/>
    <w:tmpl w:val="FD8A306A"/>
    <w:lvl w:ilvl="0" w:tplc="1CA2C8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4A2C17"/>
    <w:multiLevelType w:val="hybridMultilevel"/>
    <w:tmpl w:val="543AC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D017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6BA5E7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680CC7"/>
    <w:multiLevelType w:val="hybridMultilevel"/>
    <w:tmpl w:val="12AE1892"/>
    <w:lvl w:ilvl="0" w:tplc="AA6C9596">
      <w:start w:val="22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8">
    <w:nsid w:val="7E1F3B62"/>
    <w:multiLevelType w:val="hybridMultilevel"/>
    <w:tmpl w:val="D2744044"/>
    <w:lvl w:ilvl="0" w:tplc="D4E4A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E7E1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3EE6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C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BC0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C2F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3EE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D4B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C4D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8A4406"/>
    <w:multiLevelType w:val="hybridMultilevel"/>
    <w:tmpl w:val="C12C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94B05"/>
    <w:multiLevelType w:val="hybridMultilevel"/>
    <w:tmpl w:val="91FC0E34"/>
    <w:lvl w:ilvl="0" w:tplc="65EA1E7A">
      <w:start w:val="5"/>
      <w:numFmt w:val="lowerRoman"/>
      <w:lvlText w:val="%1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7EC06B7B"/>
    <w:multiLevelType w:val="hybridMultilevel"/>
    <w:tmpl w:val="458EA5DC"/>
    <w:lvl w:ilvl="0" w:tplc="9F1A364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D7F8C"/>
    <w:multiLevelType w:val="hybridMultilevel"/>
    <w:tmpl w:val="0052C7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9"/>
  </w:num>
  <w:num w:numId="3">
    <w:abstractNumId w:val="34"/>
  </w:num>
  <w:num w:numId="4">
    <w:abstractNumId w:val="38"/>
  </w:num>
  <w:num w:numId="5">
    <w:abstractNumId w:val="5"/>
  </w:num>
  <w:num w:numId="6">
    <w:abstractNumId w:val="31"/>
  </w:num>
  <w:num w:numId="7">
    <w:abstractNumId w:val="1"/>
  </w:num>
  <w:num w:numId="8">
    <w:abstractNumId w:val="42"/>
  </w:num>
  <w:num w:numId="9">
    <w:abstractNumId w:val="11"/>
  </w:num>
  <w:num w:numId="10">
    <w:abstractNumId w:val="13"/>
  </w:num>
  <w:num w:numId="11">
    <w:abstractNumId w:val="32"/>
  </w:num>
  <w:num w:numId="12">
    <w:abstractNumId w:val="30"/>
  </w:num>
  <w:num w:numId="13">
    <w:abstractNumId w:val="40"/>
  </w:num>
  <w:num w:numId="14">
    <w:abstractNumId w:val="37"/>
  </w:num>
  <w:num w:numId="15">
    <w:abstractNumId w:val="26"/>
  </w:num>
  <w:num w:numId="16">
    <w:abstractNumId w:val="16"/>
  </w:num>
  <w:num w:numId="17">
    <w:abstractNumId w:val="2"/>
  </w:num>
  <w:num w:numId="18">
    <w:abstractNumId w:val="29"/>
  </w:num>
  <w:num w:numId="19">
    <w:abstractNumId w:val="7"/>
  </w:num>
  <w:num w:numId="20">
    <w:abstractNumId w:val="17"/>
  </w:num>
  <w:num w:numId="21">
    <w:abstractNumId w:val="21"/>
  </w:num>
  <w:num w:numId="22">
    <w:abstractNumId w:val="18"/>
  </w:num>
  <w:num w:numId="23">
    <w:abstractNumId w:val="39"/>
  </w:num>
  <w:num w:numId="24">
    <w:abstractNumId w:val="10"/>
  </w:num>
  <w:num w:numId="25">
    <w:abstractNumId w:val="33"/>
  </w:num>
  <w:num w:numId="26">
    <w:abstractNumId w:val="28"/>
  </w:num>
  <w:num w:numId="27">
    <w:abstractNumId w:val="19"/>
  </w:num>
  <w:num w:numId="28">
    <w:abstractNumId w:val="20"/>
  </w:num>
  <w:num w:numId="29">
    <w:abstractNumId w:val="1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23"/>
  </w:num>
  <w:num w:numId="35">
    <w:abstractNumId w:val="6"/>
  </w:num>
  <w:num w:numId="36">
    <w:abstractNumId w:val="24"/>
  </w:num>
  <w:num w:numId="37">
    <w:abstractNumId w:val="25"/>
  </w:num>
  <w:num w:numId="38">
    <w:abstractNumId w:val="3"/>
  </w:num>
  <w:num w:numId="39">
    <w:abstractNumId w:val="12"/>
  </w:num>
  <w:num w:numId="40">
    <w:abstractNumId w:val="0"/>
  </w:num>
  <w:num w:numId="41">
    <w:abstractNumId w:val="41"/>
  </w:num>
  <w:num w:numId="42">
    <w:abstractNumId w:val="2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NbWwNDC1NDK1NDFX0lEKTi0uzszPAykwrgUADlBMYywAAAA="/>
  </w:docVars>
  <w:rsids>
    <w:rsidRoot w:val="00214A20"/>
    <w:rsid w:val="00006B49"/>
    <w:rsid w:val="00010B74"/>
    <w:rsid w:val="00010CF8"/>
    <w:rsid w:val="00011566"/>
    <w:rsid w:val="00011C71"/>
    <w:rsid w:val="0001520C"/>
    <w:rsid w:val="00015915"/>
    <w:rsid w:val="00015BDE"/>
    <w:rsid w:val="00016CB5"/>
    <w:rsid w:val="00020566"/>
    <w:rsid w:val="000267D8"/>
    <w:rsid w:val="0003628D"/>
    <w:rsid w:val="00036946"/>
    <w:rsid w:val="00041027"/>
    <w:rsid w:val="0004585D"/>
    <w:rsid w:val="00047E54"/>
    <w:rsid w:val="00050911"/>
    <w:rsid w:val="000516CF"/>
    <w:rsid w:val="000526F9"/>
    <w:rsid w:val="00052EC5"/>
    <w:rsid w:val="00057A95"/>
    <w:rsid w:val="00057EC1"/>
    <w:rsid w:val="00060CE0"/>
    <w:rsid w:val="00061EB2"/>
    <w:rsid w:val="00067BAC"/>
    <w:rsid w:val="00070FD4"/>
    <w:rsid w:val="00071118"/>
    <w:rsid w:val="00072829"/>
    <w:rsid w:val="00072F0A"/>
    <w:rsid w:val="00073654"/>
    <w:rsid w:val="0007569A"/>
    <w:rsid w:val="00080410"/>
    <w:rsid w:val="00083E45"/>
    <w:rsid w:val="00084097"/>
    <w:rsid w:val="0008443C"/>
    <w:rsid w:val="00084C27"/>
    <w:rsid w:val="00086905"/>
    <w:rsid w:val="00090C07"/>
    <w:rsid w:val="0009277A"/>
    <w:rsid w:val="00094167"/>
    <w:rsid w:val="00094BE2"/>
    <w:rsid w:val="0009623C"/>
    <w:rsid w:val="000A3E5F"/>
    <w:rsid w:val="000A4EBC"/>
    <w:rsid w:val="000A614A"/>
    <w:rsid w:val="000A7518"/>
    <w:rsid w:val="000B53D0"/>
    <w:rsid w:val="000C12D9"/>
    <w:rsid w:val="000C1373"/>
    <w:rsid w:val="000C61C3"/>
    <w:rsid w:val="000C67D6"/>
    <w:rsid w:val="000C7460"/>
    <w:rsid w:val="000D1DA5"/>
    <w:rsid w:val="000D28D4"/>
    <w:rsid w:val="000D3262"/>
    <w:rsid w:val="000D5CCF"/>
    <w:rsid w:val="000D74EB"/>
    <w:rsid w:val="000E158F"/>
    <w:rsid w:val="000E2E9E"/>
    <w:rsid w:val="000E5BEF"/>
    <w:rsid w:val="000E71F6"/>
    <w:rsid w:val="000F1A07"/>
    <w:rsid w:val="000F418C"/>
    <w:rsid w:val="000F618A"/>
    <w:rsid w:val="000F61CF"/>
    <w:rsid w:val="00110C90"/>
    <w:rsid w:val="00113DD3"/>
    <w:rsid w:val="00120560"/>
    <w:rsid w:val="001239D7"/>
    <w:rsid w:val="00124DA2"/>
    <w:rsid w:val="0012584F"/>
    <w:rsid w:val="001259C8"/>
    <w:rsid w:val="00130297"/>
    <w:rsid w:val="00136F01"/>
    <w:rsid w:val="001370CF"/>
    <w:rsid w:val="001418F4"/>
    <w:rsid w:val="001423A9"/>
    <w:rsid w:val="00143187"/>
    <w:rsid w:val="00144DCB"/>
    <w:rsid w:val="00147FD4"/>
    <w:rsid w:val="00150596"/>
    <w:rsid w:val="00150B6B"/>
    <w:rsid w:val="00150E88"/>
    <w:rsid w:val="00152942"/>
    <w:rsid w:val="001551AB"/>
    <w:rsid w:val="00156BA2"/>
    <w:rsid w:val="00161111"/>
    <w:rsid w:val="00167B30"/>
    <w:rsid w:val="00170BC7"/>
    <w:rsid w:val="00170D63"/>
    <w:rsid w:val="00171958"/>
    <w:rsid w:val="00171D52"/>
    <w:rsid w:val="0017517B"/>
    <w:rsid w:val="001814DF"/>
    <w:rsid w:val="00185A50"/>
    <w:rsid w:val="0018716B"/>
    <w:rsid w:val="001907BF"/>
    <w:rsid w:val="00190A53"/>
    <w:rsid w:val="00190DAA"/>
    <w:rsid w:val="00192785"/>
    <w:rsid w:val="001A122A"/>
    <w:rsid w:val="001A3271"/>
    <w:rsid w:val="001A40E4"/>
    <w:rsid w:val="001A42BF"/>
    <w:rsid w:val="001A6102"/>
    <w:rsid w:val="001A63F4"/>
    <w:rsid w:val="001A7A17"/>
    <w:rsid w:val="001C156D"/>
    <w:rsid w:val="001C1686"/>
    <w:rsid w:val="001C2FC7"/>
    <w:rsid w:val="001C41E7"/>
    <w:rsid w:val="001C4EDC"/>
    <w:rsid w:val="001C6290"/>
    <w:rsid w:val="001C6A56"/>
    <w:rsid w:val="001C6DFB"/>
    <w:rsid w:val="001C76C5"/>
    <w:rsid w:val="001C7BB3"/>
    <w:rsid w:val="001D0E2C"/>
    <w:rsid w:val="001D5165"/>
    <w:rsid w:val="001D6AD1"/>
    <w:rsid w:val="001D7444"/>
    <w:rsid w:val="001E19D1"/>
    <w:rsid w:val="001F1FA8"/>
    <w:rsid w:val="001F4422"/>
    <w:rsid w:val="001F6169"/>
    <w:rsid w:val="001F6E36"/>
    <w:rsid w:val="00205FC4"/>
    <w:rsid w:val="00206906"/>
    <w:rsid w:val="002100BF"/>
    <w:rsid w:val="002100CC"/>
    <w:rsid w:val="002134AD"/>
    <w:rsid w:val="0021390D"/>
    <w:rsid w:val="002143E3"/>
    <w:rsid w:val="00214A20"/>
    <w:rsid w:val="00215E03"/>
    <w:rsid w:val="00223697"/>
    <w:rsid w:val="00227903"/>
    <w:rsid w:val="0023318C"/>
    <w:rsid w:val="00233E52"/>
    <w:rsid w:val="00235EB6"/>
    <w:rsid w:val="00241B31"/>
    <w:rsid w:val="00241DAB"/>
    <w:rsid w:val="002452AB"/>
    <w:rsid w:val="002472C8"/>
    <w:rsid w:val="002529B4"/>
    <w:rsid w:val="002569C0"/>
    <w:rsid w:val="00257FD8"/>
    <w:rsid w:val="002609B7"/>
    <w:rsid w:val="0026327D"/>
    <w:rsid w:val="00264A83"/>
    <w:rsid w:val="002653A5"/>
    <w:rsid w:val="002654E9"/>
    <w:rsid w:val="00267263"/>
    <w:rsid w:val="00267CB5"/>
    <w:rsid w:val="00285C37"/>
    <w:rsid w:val="002907E1"/>
    <w:rsid w:val="002914D1"/>
    <w:rsid w:val="00294E5B"/>
    <w:rsid w:val="002A2760"/>
    <w:rsid w:val="002A423E"/>
    <w:rsid w:val="002A5A01"/>
    <w:rsid w:val="002A5CB3"/>
    <w:rsid w:val="002A62D5"/>
    <w:rsid w:val="002B243E"/>
    <w:rsid w:val="002B39E3"/>
    <w:rsid w:val="002B4982"/>
    <w:rsid w:val="002B51B2"/>
    <w:rsid w:val="002B6ED9"/>
    <w:rsid w:val="002B7E34"/>
    <w:rsid w:val="002B7F0B"/>
    <w:rsid w:val="002C47F0"/>
    <w:rsid w:val="002D181D"/>
    <w:rsid w:val="002D2C0A"/>
    <w:rsid w:val="002D56E2"/>
    <w:rsid w:val="002D754E"/>
    <w:rsid w:val="002D7C69"/>
    <w:rsid w:val="002E2B34"/>
    <w:rsid w:val="002E3CA5"/>
    <w:rsid w:val="002E5A78"/>
    <w:rsid w:val="002E5C9F"/>
    <w:rsid w:val="002E5FF7"/>
    <w:rsid w:val="002F1449"/>
    <w:rsid w:val="002F24AE"/>
    <w:rsid w:val="002F2B33"/>
    <w:rsid w:val="00300889"/>
    <w:rsid w:val="0030592F"/>
    <w:rsid w:val="00305DAD"/>
    <w:rsid w:val="00307EAC"/>
    <w:rsid w:val="00310416"/>
    <w:rsid w:val="00312E13"/>
    <w:rsid w:val="003150CD"/>
    <w:rsid w:val="00316E6C"/>
    <w:rsid w:val="00317DDF"/>
    <w:rsid w:val="003204B8"/>
    <w:rsid w:val="003214C1"/>
    <w:rsid w:val="00322110"/>
    <w:rsid w:val="00322B3D"/>
    <w:rsid w:val="003260D4"/>
    <w:rsid w:val="00326CC8"/>
    <w:rsid w:val="003325B0"/>
    <w:rsid w:val="00332D8F"/>
    <w:rsid w:val="003342FC"/>
    <w:rsid w:val="00334C5F"/>
    <w:rsid w:val="003418AF"/>
    <w:rsid w:val="0034448D"/>
    <w:rsid w:val="00345E7A"/>
    <w:rsid w:val="003472FC"/>
    <w:rsid w:val="003503B9"/>
    <w:rsid w:val="00350799"/>
    <w:rsid w:val="00352797"/>
    <w:rsid w:val="00353B81"/>
    <w:rsid w:val="00356B1B"/>
    <w:rsid w:val="0036100F"/>
    <w:rsid w:val="00361C71"/>
    <w:rsid w:val="00361E29"/>
    <w:rsid w:val="00366A0C"/>
    <w:rsid w:val="00366BD4"/>
    <w:rsid w:val="003700D4"/>
    <w:rsid w:val="00375D9E"/>
    <w:rsid w:val="00376621"/>
    <w:rsid w:val="00380313"/>
    <w:rsid w:val="00383961"/>
    <w:rsid w:val="00394CCE"/>
    <w:rsid w:val="00395B05"/>
    <w:rsid w:val="00397823"/>
    <w:rsid w:val="003A1AAC"/>
    <w:rsid w:val="003A28FD"/>
    <w:rsid w:val="003A4B2A"/>
    <w:rsid w:val="003A5FCC"/>
    <w:rsid w:val="003A63B6"/>
    <w:rsid w:val="003B0645"/>
    <w:rsid w:val="003B2522"/>
    <w:rsid w:val="003B5077"/>
    <w:rsid w:val="003B5125"/>
    <w:rsid w:val="003B5543"/>
    <w:rsid w:val="003B5808"/>
    <w:rsid w:val="003B61A1"/>
    <w:rsid w:val="003B7608"/>
    <w:rsid w:val="003C0E34"/>
    <w:rsid w:val="003C0F9E"/>
    <w:rsid w:val="003C1FF2"/>
    <w:rsid w:val="003C219F"/>
    <w:rsid w:val="003C21F3"/>
    <w:rsid w:val="003C2BCC"/>
    <w:rsid w:val="003C3A5A"/>
    <w:rsid w:val="003C3D5A"/>
    <w:rsid w:val="003C4A62"/>
    <w:rsid w:val="003C53C6"/>
    <w:rsid w:val="003D33E1"/>
    <w:rsid w:val="003D41E2"/>
    <w:rsid w:val="003D6A2E"/>
    <w:rsid w:val="003F1D0D"/>
    <w:rsid w:val="003F335B"/>
    <w:rsid w:val="003F4550"/>
    <w:rsid w:val="003F505A"/>
    <w:rsid w:val="00402E50"/>
    <w:rsid w:val="00403250"/>
    <w:rsid w:val="0040335A"/>
    <w:rsid w:val="00404AB3"/>
    <w:rsid w:val="00405D1B"/>
    <w:rsid w:val="00405D53"/>
    <w:rsid w:val="00407F99"/>
    <w:rsid w:val="0041011B"/>
    <w:rsid w:val="00415990"/>
    <w:rsid w:val="00421C18"/>
    <w:rsid w:val="004233EF"/>
    <w:rsid w:val="0042498C"/>
    <w:rsid w:val="00425F20"/>
    <w:rsid w:val="004277A0"/>
    <w:rsid w:val="0043134F"/>
    <w:rsid w:val="00431D41"/>
    <w:rsid w:val="00441355"/>
    <w:rsid w:val="00444468"/>
    <w:rsid w:val="00446F36"/>
    <w:rsid w:val="004476BA"/>
    <w:rsid w:val="00456262"/>
    <w:rsid w:val="00456365"/>
    <w:rsid w:val="00457681"/>
    <w:rsid w:val="004608CD"/>
    <w:rsid w:val="00462E43"/>
    <w:rsid w:val="00463C8C"/>
    <w:rsid w:val="0046423B"/>
    <w:rsid w:val="0046729F"/>
    <w:rsid w:val="0046778C"/>
    <w:rsid w:val="00477D96"/>
    <w:rsid w:val="00480F1A"/>
    <w:rsid w:val="00486DDF"/>
    <w:rsid w:val="004A1EBA"/>
    <w:rsid w:val="004A2B1B"/>
    <w:rsid w:val="004B2DE1"/>
    <w:rsid w:val="004B779D"/>
    <w:rsid w:val="004C0960"/>
    <w:rsid w:val="004C1D09"/>
    <w:rsid w:val="004C4436"/>
    <w:rsid w:val="004C6E19"/>
    <w:rsid w:val="004D797B"/>
    <w:rsid w:val="004E0013"/>
    <w:rsid w:val="004E086D"/>
    <w:rsid w:val="004E14B8"/>
    <w:rsid w:val="004E249D"/>
    <w:rsid w:val="004E619D"/>
    <w:rsid w:val="004F2035"/>
    <w:rsid w:val="004F3C05"/>
    <w:rsid w:val="004F5538"/>
    <w:rsid w:val="004F675F"/>
    <w:rsid w:val="00502DBE"/>
    <w:rsid w:val="005120E0"/>
    <w:rsid w:val="0051299E"/>
    <w:rsid w:val="00515013"/>
    <w:rsid w:val="00515352"/>
    <w:rsid w:val="0051558F"/>
    <w:rsid w:val="00523155"/>
    <w:rsid w:val="00530148"/>
    <w:rsid w:val="00531039"/>
    <w:rsid w:val="005446EF"/>
    <w:rsid w:val="00544E85"/>
    <w:rsid w:val="00545C07"/>
    <w:rsid w:val="00550AA4"/>
    <w:rsid w:val="0055488B"/>
    <w:rsid w:val="005609F6"/>
    <w:rsid w:val="005610B4"/>
    <w:rsid w:val="00563F6F"/>
    <w:rsid w:val="0056427C"/>
    <w:rsid w:val="00571D6D"/>
    <w:rsid w:val="005727E5"/>
    <w:rsid w:val="0057348B"/>
    <w:rsid w:val="00575B1A"/>
    <w:rsid w:val="00576C7D"/>
    <w:rsid w:val="00584ED6"/>
    <w:rsid w:val="00585515"/>
    <w:rsid w:val="005869C7"/>
    <w:rsid w:val="00587B0D"/>
    <w:rsid w:val="005A1281"/>
    <w:rsid w:val="005A4702"/>
    <w:rsid w:val="005A4E44"/>
    <w:rsid w:val="005A4F25"/>
    <w:rsid w:val="005A61AF"/>
    <w:rsid w:val="005A7A79"/>
    <w:rsid w:val="005B1070"/>
    <w:rsid w:val="005B4487"/>
    <w:rsid w:val="005C15F5"/>
    <w:rsid w:val="005C20A7"/>
    <w:rsid w:val="005C3767"/>
    <w:rsid w:val="005C3A03"/>
    <w:rsid w:val="005C7AD6"/>
    <w:rsid w:val="005C7D97"/>
    <w:rsid w:val="005D3E7D"/>
    <w:rsid w:val="005D4E0D"/>
    <w:rsid w:val="005D7884"/>
    <w:rsid w:val="005E2B96"/>
    <w:rsid w:val="005E2BF5"/>
    <w:rsid w:val="005F1DF1"/>
    <w:rsid w:val="005F27B0"/>
    <w:rsid w:val="005F2A46"/>
    <w:rsid w:val="005F5098"/>
    <w:rsid w:val="005F528F"/>
    <w:rsid w:val="005F551B"/>
    <w:rsid w:val="005F6AE6"/>
    <w:rsid w:val="0060365F"/>
    <w:rsid w:val="00604A44"/>
    <w:rsid w:val="00607F7B"/>
    <w:rsid w:val="00615788"/>
    <w:rsid w:val="00615F1C"/>
    <w:rsid w:val="00616837"/>
    <w:rsid w:val="00620E5E"/>
    <w:rsid w:val="00621204"/>
    <w:rsid w:val="00621E28"/>
    <w:rsid w:val="00623E7B"/>
    <w:rsid w:val="00624360"/>
    <w:rsid w:val="006251D7"/>
    <w:rsid w:val="00626C0E"/>
    <w:rsid w:val="00630318"/>
    <w:rsid w:val="006304AC"/>
    <w:rsid w:val="006353AF"/>
    <w:rsid w:val="00635A0E"/>
    <w:rsid w:val="00637B96"/>
    <w:rsid w:val="00640646"/>
    <w:rsid w:val="00643FA7"/>
    <w:rsid w:val="006466B3"/>
    <w:rsid w:val="00647822"/>
    <w:rsid w:val="00655D35"/>
    <w:rsid w:val="00656BD7"/>
    <w:rsid w:val="00657FC9"/>
    <w:rsid w:val="00662675"/>
    <w:rsid w:val="0066555A"/>
    <w:rsid w:val="00670567"/>
    <w:rsid w:val="00670E97"/>
    <w:rsid w:val="00671163"/>
    <w:rsid w:val="00675527"/>
    <w:rsid w:val="0067587F"/>
    <w:rsid w:val="00680C13"/>
    <w:rsid w:val="00680DCE"/>
    <w:rsid w:val="00685C69"/>
    <w:rsid w:val="006A134F"/>
    <w:rsid w:val="006A5443"/>
    <w:rsid w:val="006A6C25"/>
    <w:rsid w:val="006B1A3C"/>
    <w:rsid w:val="006B2C29"/>
    <w:rsid w:val="006B6042"/>
    <w:rsid w:val="006B6B37"/>
    <w:rsid w:val="006B6B43"/>
    <w:rsid w:val="006B75AB"/>
    <w:rsid w:val="006C6DF4"/>
    <w:rsid w:val="006C72AE"/>
    <w:rsid w:val="006D1BC7"/>
    <w:rsid w:val="006D206F"/>
    <w:rsid w:val="006D38B8"/>
    <w:rsid w:val="006D5C7F"/>
    <w:rsid w:val="006D6948"/>
    <w:rsid w:val="006E02DD"/>
    <w:rsid w:val="006E45E7"/>
    <w:rsid w:val="006F030F"/>
    <w:rsid w:val="006F08A3"/>
    <w:rsid w:val="006F510A"/>
    <w:rsid w:val="006F7380"/>
    <w:rsid w:val="00710411"/>
    <w:rsid w:val="007109A8"/>
    <w:rsid w:val="00710B74"/>
    <w:rsid w:val="007110C4"/>
    <w:rsid w:val="00714110"/>
    <w:rsid w:val="007150C3"/>
    <w:rsid w:val="007158F1"/>
    <w:rsid w:val="00720EF6"/>
    <w:rsid w:val="00723701"/>
    <w:rsid w:val="007244D0"/>
    <w:rsid w:val="00727C8C"/>
    <w:rsid w:val="00731B7C"/>
    <w:rsid w:val="0074399E"/>
    <w:rsid w:val="0074706E"/>
    <w:rsid w:val="00747F41"/>
    <w:rsid w:val="007538A7"/>
    <w:rsid w:val="0075399A"/>
    <w:rsid w:val="00756CDB"/>
    <w:rsid w:val="007573B8"/>
    <w:rsid w:val="0076346C"/>
    <w:rsid w:val="00765166"/>
    <w:rsid w:val="00767AA0"/>
    <w:rsid w:val="00771D6F"/>
    <w:rsid w:val="00772309"/>
    <w:rsid w:val="00773D26"/>
    <w:rsid w:val="007803F5"/>
    <w:rsid w:val="00780AD2"/>
    <w:rsid w:val="00786408"/>
    <w:rsid w:val="007868DD"/>
    <w:rsid w:val="00786C55"/>
    <w:rsid w:val="00787FD2"/>
    <w:rsid w:val="00790256"/>
    <w:rsid w:val="00790872"/>
    <w:rsid w:val="0079176B"/>
    <w:rsid w:val="00792673"/>
    <w:rsid w:val="00795DB4"/>
    <w:rsid w:val="00796EDB"/>
    <w:rsid w:val="007A2114"/>
    <w:rsid w:val="007B440A"/>
    <w:rsid w:val="007B4FEE"/>
    <w:rsid w:val="007B58A2"/>
    <w:rsid w:val="007B64A4"/>
    <w:rsid w:val="007B72F4"/>
    <w:rsid w:val="007C4709"/>
    <w:rsid w:val="007C5141"/>
    <w:rsid w:val="007C6F37"/>
    <w:rsid w:val="007D1A43"/>
    <w:rsid w:val="007D3D95"/>
    <w:rsid w:val="007D545A"/>
    <w:rsid w:val="007E0260"/>
    <w:rsid w:val="007E29B0"/>
    <w:rsid w:val="007E2DD2"/>
    <w:rsid w:val="007E57E5"/>
    <w:rsid w:val="007E5C0B"/>
    <w:rsid w:val="007F0E26"/>
    <w:rsid w:val="007F2457"/>
    <w:rsid w:val="007F2DD2"/>
    <w:rsid w:val="007F3E6D"/>
    <w:rsid w:val="007F411C"/>
    <w:rsid w:val="008003D9"/>
    <w:rsid w:val="008005BA"/>
    <w:rsid w:val="008006B7"/>
    <w:rsid w:val="008028FC"/>
    <w:rsid w:val="00802B5F"/>
    <w:rsid w:val="008135CC"/>
    <w:rsid w:val="00816D5D"/>
    <w:rsid w:val="00817438"/>
    <w:rsid w:val="008203DF"/>
    <w:rsid w:val="00822870"/>
    <w:rsid w:val="00823FD4"/>
    <w:rsid w:val="0082637E"/>
    <w:rsid w:val="00827F0A"/>
    <w:rsid w:val="00830306"/>
    <w:rsid w:val="008356E6"/>
    <w:rsid w:val="0084296E"/>
    <w:rsid w:val="0084611C"/>
    <w:rsid w:val="00850083"/>
    <w:rsid w:val="0085031A"/>
    <w:rsid w:val="0085120C"/>
    <w:rsid w:val="00853719"/>
    <w:rsid w:val="00860093"/>
    <w:rsid w:val="00861D4A"/>
    <w:rsid w:val="00862035"/>
    <w:rsid w:val="00864A07"/>
    <w:rsid w:val="00866BC9"/>
    <w:rsid w:val="00866D55"/>
    <w:rsid w:val="008671DA"/>
    <w:rsid w:val="00870661"/>
    <w:rsid w:val="008711B5"/>
    <w:rsid w:val="008726A2"/>
    <w:rsid w:val="00872751"/>
    <w:rsid w:val="00873516"/>
    <w:rsid w:val="0088142C"/>
    <w:rsid w:val="00885911"/>
    <w:rsid w:val="00885D4A"/>
    <w:rsid w:val="0089218E"/>
    <w:rsid w:val="0089462A"/>
    <w:rsid w:val="008974A4"/>
    <w:rsid w:val="008A1FBC"/>
    <w:rsid w:val="008A56D8"/>
    <w:rsid w:val="008A7CFE"/>
    <w:rsid w:val="008B2A5D"/>
    <w:rsid w:val="008B333C"/>
    <w:rsid w:val="008B482C"/>
    <w:rsid w:val="008C01E6"/>
    <w:rsid w:val="008C3D54"/>
    <w:rsid w:val="008C5E68"/>
    <w:rsid w:val="008D06BE"/>
    <w:rsid w:val="008D111D"/>
    <w:rsid w:val="008D4B8E"/>
    <w:rsid w:val="008E1F82"/>
    <w:rsid w:val="008E30EC"/>
    <w:rsid w:val="008E3BA7"/>
    <w:rsid w:val="008E3D1C"/>
    <w:rsid w:val="008E7CFB"/>
    <w:rsid w:val="008E7D31"/>
    <w:rsid w:val="008F22B9"/>
    <w:rsid w:val="008F456F"/>
    <w:rsid w:val="00901717"/>
    <w:rsid w:val="00901C93"/>
    <w:rsid w:val="00905B81"/>
    <w:rsid w:val="00915F8F"/>
    <w:rsid w:val="00920A57"/>
    <w:rsid w:val="00921727"/>
    <w:rsid w:val="009249A3"/>
    <w:rsid w:val="00925CA6"/>
    <w:rsid w:val="0092695A"/>
    <w:rsid w:val="009339F0"/>
    <w:rsid w:val="00934191"/>
    <w:rsid w:val="0093734B"/>
    <w:rsid w:val="00943F18"/>
    <w:rsid w:val="00945A04"/>
    <w:rsid w:val="00945B66"/>
    <w:rsid w:val="00951DCC"/>
    <w:rsid w:val="00952039"/>
    <w:rsid w:val="00956CF1"/>
    <w:rsid w:val="00957649"/>
    <w:rsid w:val="00957B1E"/>
    <w:rsid w:val="0096307B"/>
    <w:rsid w:val="00963D23"/>
    <w:rsid w:val="00964A55"/>
    <w:rsid w:val="0096562B"/>
    <w:rsid w:val="00966167"/>
    <w:rsid w:val="00970E9E"/>
    <w:rsid w:val="00972362"/>
    <w:rsid w:val="00973629"/>
    <w:rsid w:val="00975568"/>
    <w:rsid w:val="0097695F"/>
    <w:rsid w:val="00980D68"/>
    <w:rsid w:val="00990EF5"/>
    <w:rsid w:val="00992E6E"/>
    <w:rsid w:val="009937D4"/>
    <w:rsid w:val="00996D93"/>
    <w:rsid w:val="009A10E6"/>
    <w:rsid w:val="009A24F5"/>
    <w:rsid w:val="009A281D"/>
    <w:rsid w:val="009A4BB5"/>
    <w:rsid w:val="009A6F81"/>
    <w:rsid w:val="009B0551"/>
    <w:rsid w:val="009B37DD"/>
    <w:rsid w:val="009B39AD"/>
    <w:rsid w:val="009B4921"/>
    <w:rsid w:val="009C1115"/>
    <w:rsid w:val="009C47DC"/>
    <w:rsid w:val="009D02C8"/>
    <w:rsid w:val="009D1D86"/>
    <w:rsid w:val="009D2522"/>
    <w:rsid w:val="009D59B4"/>
    <w:rsid w:val="009E4D45"/>
    <w:rsid w:val="009E4FB8"/>
    <w:rsid w:val="009E56A3"/>
    <w:rsid w:val="009E5F2C"/>
    <w:rsid w:val="009F3290"/>
    <w:rsid w:val="009F7401"/>
    <w:rsid w:val="00A02867"/>
    <w:rsid w:val="00A02E63"/>
    <w:rsid w:val="00A038F1"/>
    <w:rsid w:val="00A04DB8"/>
    <w:rsid w:val="00A05DCE"/>
    <w:rsid w:val="00A06175"/>
    <w:rsid w:val="00A06CE0"/>
    <w:rsid w:val="00A150C6"/>
    <w:rsid w:val="00A20DA0"/>
    <w:rsid w:val="00A32FA0"/>
    <w:rsid w:val="00A34864"/>
    <w:rsid w:val="00A3500C"/>
    <w:rsid w:val="00A40DDB"/>
    <w:rsid w:val="00A43982"/>
    <w:rsid w:val="00A50460"/>
    <w:rsid w:val="00A522CF"/>
    <w:rsid w:val="00A61C8E"/>
    <w:rsid w:val="00A655AC"/>
    <w:rsid w:val="00A65C28"/>
    <w:rsid w:val="00A66736"/>
    <w:rsid w:val="00A66D52"/>
    <w:rsid w:val="00A67365"/>
    <w:rsid w:val="00A67DED"/>
    <w:rsid w:val="00A724F1"/>
    <w:rsid w:val="00A76293"/>
    <w:rsid w:val="00A77FDC"/>
    <w:rsid w:val="00A86BDC"/>
    <w:rsid w:val="00A8797C"/>
    <w:rsid w:val="00A939C4"/>
    <w:rsid w:val="00A94043"/>
    <w:rsid w:val="00AA0056"/>
    <w:rsid w:val="00AA2D39"/>
    <w:rsid w:val="00AA3169"/>
    <w:rsid w:val="00AA47F5"/>
    <w:rsid w:val="00AA7736"/>
    <w:rsid w:val="00AB35B3"/>
    <w:rsid w:val="00AC0934"/>
    <w:rsid w:val="00AC287A"/>
    <w:rsid w:val="00AC328D"/>
    <w:rsid w:val="00AC3D9C"/>
    <w:rsid w:val="00AC43D2"/>
    <w:rsid w:val="00AC5AA3"/>
    <w:rsid w:val="00AD210B"/>
    <w:rsid w:val="00AD4C57"/>
    <w:rsid w:val="00AD6F0F"/>
    <w:rsid w:val="00AE1963"/>
    <w:rsid w:val="00AE227C"/>
    <w:rsid w:val="00AE4D5D"/>
    <w:rsid w:val="00AF3272"/>
    <w:rsid w:val="00AF4C58"/>
    <w:rsid w:val="00AF718E"/>
    <w:rsid w:val="00AF74E0"/>
    <w:rsid w:val="00B023E3"/>
    <w:rsid w:val="00B02984"/>
    <w:rsid w:val="00B0327D"/>
    <w:rsid w:val="00B04BBB"/>
    <w:rsid w:val="00B05413"/>
    <w:rsid w:val="00B06DB1"/>
    <w:rsid w:val="00B23C9E"/>
    <w:rsid w:val="00B242B2"/>
    <w:rsid w:val="00B268B7"/>
    <w:rsid w:val="00B302D3"/>
    <w:rsid w:val="00B35203"/>
    <w:rsid w:val="00B415E9"/>
    <w:rsid w:val="00B419EA"/>
    <w:rsid w:val="00B41DFA"/>
    <w:rsid w:val="00B42D67"/>
    <w:rsid w:val="00B42DB9"/>
    <w:rsid w:val="00B462E6"/>
    <w:rsid w:val="00B4703F"/>
    <w:rsid w:val="00B47A4F"/>
    <w:rsid w:val="00B5276B"/>
    <w:rsid w:val="00B53AC7"/>
    <w:rsid w:val="00B57613"/>
    <w:rsid w:val="00B60BC7"/>
    <w:rsid w:val="00B632C2"/>
    <w:rsid w:val="00B66132"/>
    <w:rsid w:val="00B66CAF"/>
    <w:rsid w:val="00B70E77"/>
    <w:rsid w:val="00B75EA7"/>
    <w:rsid w:val="00B7761E"/>
    <w:rsid w:val="00B77DF1"/>
    <w:rsid w:val="00B804C7"/>
    <w:rsid w:val="00B86326"/>
    <w:rsid w:val="00B86E1B"/>
    <w:rsid w:val="00B874A9"/>
    <w:rsid w:val="00B877BF"/>
    <w:rsid w:val="00B9318A"/>
    <w:rsid w:val="00B956EC"/>
    <w:rsid w:val="00B95F16"/>
    <w:rsid w:val="00B96FBC"/>
    <w:rsid w:val="00B97626"/>
    <w:rsid w:val="00BA0528"/>
    <w:rsid w:val="00BA562D"/>
    <w:rsid w:val="00BA56E1"/>
    <w:rsid w:val="00BA57CF"/>
    <w:rsid w:val="00BA59EF"/>
    <w:rsid w:val="00BA6AE5"/>
    <w:rsid w:val="00BB0899"/>
    <w:rsid w:val="00BB71B0"/>
    <w:rsid w:val="00BC16FC"/>
    <w:rsid w:val="00BC1BC9"/>
    <w:rsid w:val="00BC1D3F"/>
    <w:rsid w:val="00BC2652"/>
    <w:rsid w:val="00BC401A"/>
    <w:rsid w:val="00BC4043"/>
    <w:rsid w:val="00BC5C90"/>
    <w:rsid w:val="00BC662F"/>
    <w:rsid w:val="00BC713C"/>
    <w:rsid w:val="00BC7C66"/>
    <w:rsid w:val="00BD14FC"/>
    <w:rsid w:val="00BD63C4"/>
    <w:rsid w:val="00BE401C"/>
    <w:rsid w:val="00BE4330"/>
    <w:rsid w:val="00BE4DC4"/>
    <w:rsid w:val="00BF1DDC"/>
    <w:rsid w:val="00BF3436"/>
    <w:rsid w:val="00BF381A"/>
    <w:rsid w:val="00BF453C"/>
    <w:rsid w:val="00BF4AF6"/>
    <w:rsid w:val="00BF58EC"/>
    <w:rsid w:val="00C00C3E"/>
    <w:rsid w:val="00C058FC"/>
    <w:rsid w:val="00C116C6"/>
    <w:rsid w:val="00C11960"/>
    <w:rsid w:val="00C144D7"/>
    <w:rsid w:val="00C14A6C"/>
    <w:rsid w:val="00C15837"/>
    <w:rsid w:val="00C16386"/>
    <w:rsid w:val="00C16DA4"/>
    <w:rsid w:val="00C17F39"/>
    <w:rsid w:val="00C208A4"/>
    <w:rsid w:val="00C218CC"/>
    <w:rsid w:val="00C22981"/>
    <w:rsid w:val="00C23A54"/>
    <w:rsid w:val="00C25862"/>
    <w:rsid w:val="00C311A5"/>
    <w:rsid w:val="00C3312A"/>
    <w:rsid w:val="00C34F98"/>
    <w:rsid w:val="00C40198"/>
    <w:rsid w:val="00C404F4"/>
    <w:rsid w:val="00C40508"/>
    <w:rsid w:val="00C40601"/>
    <w:rsid w:val="00C41EED"/>
    <w:rsid w:val="00C4239F"/>
    <w:rsid w:val="00C42EB5"/>
    <w:rsid w:val="00C453B9"/>
    <w:rsid w:val="00C46115"/>
    <w:rsid w:val="00C463A8"/>
    <w:rsid w:val="00C465CF"/>
    <w:rsid w:val="00C47979"/>
    <w:rsid w:val="00C51BCC"/>
    <w:rsid w:val="00C51F37"/>
    <w:rsid w:val="00C524B9"/>
    <w:rsid w:val="00C529F3"/>
    <w:rsid w:val="00C53CB8"/>
    <w:rsid w:val="00C55A74"/>
    <w:rsid w:val="00C56355"/>
    <w:rsid w:val="00C600B0"/>
    <w:rsid w:val="00C62C66"/>
    <w:rsid w:val="00C655DE"/>
    <w:rsid w:val="00C66CEC"/>
    <w:rsid w:val="00C67738"/>
    <w:rsid w:val="00C704E0"/>
    <w:rsid w:val="00C71578"/>
    <w:rsid w:val="00C81054"/>
    <w:rsid w:val="00C85D18"/>
    <w:rsid w:val="00C9064D"/>
    <w:rsid w:val="00C93C0C"/>
    <w:rsid w:val="00C954DF"/>
    <w:rsid w:val="00C968C8"/>
    <w:rsid w:val="00C96D0D"/>
    <w:rsid w:val="00C97C0D"/>
    <w:rsid w:val="00CA1945"/>
    <w:rsid w:val="00CA4EF2"/>
    <w:rsid w:val="00CA5533"/>
    <w:rsid w:val="00CB0A6F"/>
    <w:rsid w:val="00CB4224"/>
    <w:rsid w:val="00CB6012"/>
    <w:rsid w:val="00CB6512"/>
    <w:rsid w:val="00CB7BCA"/>
    <w:rsid w:val="00CC01B3"/>
    <w:rsid w:val="00CC1339"/>
    <w:rsid w:val="00CC2FAE"/>
    <w:rsid w:val="00CC580E"/>
    <w:rsid w:val="00CC7E30"/>
    <w:rsid w:val="00CD1194"/>
    <w:rsid w:val="00CD3754"/>
    <w:rsid w:val="00CD524D"/>
    <w:rsid w:val="00CD62C2"/>
    <w:rsid w:val="00CD6570"/>
    <w:rsid w:val="00CE1CB2"/>
    <w:rsid w:val="00CE4AB5"/>
    <w:rsid w:val="00CE4BD4"/>
    <w:rsid w:val="00CE55BB"/>
    <w:rsid w:val="00CE6742"/>
    <w:rsid w:val="00CF0543"/>
    <w:rsid w:val="00CF2648"/>
    <w:rsid w:val="00CF3B87"/>
    <w:rsid w:val="00CF523B"/>
    <w:rsid w:val="00CF5ABF"/>
    <w:rsid w:val="00CF671F"/>
    <w:rsid w:val="00D00AD7"/>
    <w:rsid w:val="00D0129F"/>
    <w:rsid w:val="00D01FA4"/>
    <w:rsid w:val="00D03492"/>
    <w:rsid w:val="00D04452"/>
    <w:rsid w:val="00D0488F"/>
    <w:rsid w:val="00D059FD"/>
    <w:rsid w:val="00D071C1"/>
    <w:rsid w:val="00D077AF"/>
    <w:rsid w:val="00D130BA"/>
    <w:rsid w:val="00D130CE"/>
    <w:rsid w:val="00D135C1"/>
    <w:rsid w:val="00D143DB"/>
    <w:rsid w:val="00D14F62"/>
    <w:rsid w:val="00D15E0B"/>
    <w:rsid w:val="00D16CB0"/>
    <w:rsid w:val="00D23316"/>
    <w:rsid w:val="00D34436"/>
    <w:rsid w:val="00D34625"/>
    <w:rsid w:val="00D361A0"/>
    <w:rsid w:val="00D37969"/>
    <w:rsid w:val="00D4398C"/>
    <w:rsid w:val="00D4494E"/>
    <w:rsid w:val="00D47A29"/>
    <w:rsid w:val="00D52F81"/>
    <w:rsid w:val="00D53FC8"/>
    <w:rsid w:val="00D556EC"/>
    <w:rsid w:val="00D57CC5"/>
    <w:rsid w:val="00D61163"/>
    <w:rsid w:val="00D617A9"/>
    <w:rsid w:val="00D71FB7"/>
    <w:rsid w:val="00D7432C"/>
    <w:rsid w:val="00D75FA3"/>
    <w:rsid w:val="00D76197"/>
    <w:rsid w:val="00D76A3E"/>
    <w:rsid w:val="00D77344"/>
    <w:rsid w:val="00D80C0A"/>
    <w:rsid w:val="00D811D3"/>
    <w:rsid w:val="00D824F0"/>
    <w:rsid w:val="00D86876"/>
    <w:rsid w:val="00D87A77"/>
    <w:rsid w:val="00D87FEF"/>
    <w:rsid w:val="00D914CD"/>
    <w:rsid w:val="00D92F2C"/>
    <w:rsid w:val="00D96301"/>
    <w:rsid w:val="00DA0136"/>
    <w:rsid w:val="00DA74FA"/>
    <w:rsid w:val="00DB1314"/>
    <w:rsid w:val="00DB1617"/>
    <w:rsid w:val="00DB3B55"/>
    <w:rsid w:val="00DB763F"/>
    <w:rsid w:val="00DC045E"/>
    <w:rsid w:val="00DC32EB"/>
    <w:rsid w:val="00DC52DD"/>
    <w:rsid w:val="00DC6BB4"/>
    <w:rsid w:val="00DD11F4"/>
    <w:rsid w:val="00DD493C"/>
    <w:rsid w:val="00DD5514"/>
    <w:rsid w:val="00DE1918"/>
    <w:rsid w:val="00DE2400"/>
    <w:rsid w:val="00DE36EB"/>
    <w:rsid w:val="00DE3982"/>
    <w:rsid w:val="00DE3D4B"/>
    <w:rsid w:val="00DE5D2D"/>
    <w:rsid w:val="00DE5F46"/>
    <w:rsid w:val="00DE70AA"/>
    <w:rsid w:val="00DF0E77"/>
    <w:rsid w:val="00DF1A05"/>
    <w:rsid w:val="00DF40D5"/>
    <w:rsid w:val="00DF63A1"/>
    <w:rsid w:val="00E04C9D"/>
    <w:rsid w:val="00E05431"/>
    <w:rsid w:val="00E064B8"/>
    <w:rsid w:val="00E06525"/>
    <w:rsid w:val="00E06C4B"/>
    <w:rsid w:val="00E0765E"/>
    <w:rsid w:val="00E11768"/>
    <w:rsid w:val="00E11F4B"/>
    <w:rsid w:val="00E127AA"/>
    <w:rsid w:val="00E12B92"/>
    <w:rsid w:val="00E13210"/>
    <w:rsid w:val="00E1657E"/>
    <w:rsid w:val="00E16DA2"/>
    <w:rsid w:val="00E279EE"/>
    <w:rsid w:val="00E3069F"/>
    <w:rsid w:val="00E32E5F"/>
    <w:rsid w:val="00E35634"/>
    <w:rsid w:val="00E44ABC"/>
    <w:rsid w:val="00E508FD"/>
    <w:rsid w:val="00E50EED"/>
    <w:rsid w:val="00E512C6"/>
    <w:rsid w:val="00E55C0A"/>
    <w:rsid w:val="00E57058"/>
    <w:rsid w:val="00E62CF2"/>
    <w:rsid w:val="00E63489"/>
    <w:rsid w:val="00E63A46"/>
    <w:rsid w:val="00E63EBD"/>
    <w:rsid w:val="00E66229"/>
    <w:rsid w:val="00E703F7"/>
    <w:rsid w:val="00E732D3"/>
    <w:rsid w:val="00E741A0"/>
    <w:rsid w:val="00E75AFE"/>
    <w:rsid w:val="00E81FBD"/>
    <w:rsid w:val="00E857BF"/>
    <w:rsid w:val="00E858CC"/>
    <w:rsid w:val="00E85A90"/>
    <w:rsid w:val="00E863F7"/>
    <w:rsid w:val="00E86A40"/>
    <w:rsid w:val="00E92F28"/>
    <w:rsid w:val="00E97806"/>
    <w:rsid w:val="00EA1064"/>
    <w:rsid w:val="00EA1211"/>
    <w:rsid w:val="00EA1ED3"/>
    <w:rsid w:val="00EA417B"/>
    <w:rsid w:val="00EA64A7"/>
    <w:rsid w:val="00EA666E"/>
    <w:rsid w:val="00EB6257"/>
    <w:rsid w:val="00EC66A4"/>
    <w:rsid w:val="00EC66A6"/>
    <w:rsid w:val="00EC6B67"/>
    <w:rsid w:val="00ED1D7A"/>
    <w:rsid w:val="00ED69F5"/>
    <w:rsid w:val="00EE13DF"/>
    <w:rsid w:val="00EE1782"/>
    <w:rsid w:val="00EE218D"/>
    <w:rsid w:val="00EE5AEA"/>
    <w:rsid w:val="00EE6F58"/>
    <w:rsid w:val="00EE7CD9"/>
    <w:rsid w:val="00EF2E19"/>
    <w:rsid w:val="00F010BF"/>
    <w:rsid w:val="00F03DF5"/>
    <w:rsid w:val="00F07C3F"/>
    <w:rsid w:val="00F1191F"/>
    <w:rsid w:val="00F203C4"/>
    <w:rsid w:val="00F21000"/>
    <w:rsid w:val="00F216D2"/>
    <w:rsid w:val="00F236E9"/>
    <w:rsid w:val="00F2682F"/>
    <w:rsid w:val="00F272C8"/>
    <w:rsid w:val="00F351D4"/>
    <w:rsid w:val="00F37390"/>
    <w:rsid w:val="00F37789"/>
    <w:rsid w:val="00F378A6"/>
    <w:rsid w:val="00F425BE"/>
    <w:rsid w:val="00F462CD"/>
    <w:rsid w:val="00F4743A"/>
    <w:rsid w:val="00F60C98"/>
    <w:rsid w:val="00F631D9"/>
    <w:rsid w:val="00F641D3"/>
    <w:rsid w:val="00F70109"/>
    <w:rsid w:val="00F765C1"/>
    <w:rsid w:val="00F77B26"/>
    <w:rsid w:val="00F80003"/>
    <w:rsid w:val="00F81F2F"/>
    <w:rsid w:val="00F84BF0"/>
    <w:rsid w:val="00F85F45"/>
    <w:rsid w:val="00F87064"/>
    <w:rsid w:val="00F902FF"/>
    <w:rsid w:val="00F90589"/>
    <w:rsid w:val="00F92E11"/>
    <w:rsid w:val="00F92FC9"/>
    <w:rsid w:val="00F9325C"/>
    <w:rsid w:val="00F93668"/>
    <w:rsid w:val="00FA677F"/>
    <w:rsid w:val="00FA6DD5"/>
    <w:rsid w:val="00FA751E"/>
    <w:rsid w:val="00FB1B87"/>
    <w:rsid w:val="00FB49E0"/>
    <w:rsid w:val="00FB5084"/>
    <w:rsid w:val="00FB5717"/>
    <w:rsid w:val="00FC1E99"/>
    <w:rsid w:val="00FC666C"/>
    <w:rsid w:val="00FC76B2"/>
    <w:rsid w:val="00FC7CE2"/>
    <w:rsid w:val="00FD01D0"/>
    <w:rsid w:val="00FD27DC"/>
    <w:rsid w:val="00FD6850"/>
    <w:rsid w:val="00FE0AD6"/>
    <w:rsid w:val="00FE0D75"/>
    <w:rsid w:val="00FE3028"/>
    <w:rsid w:val="00FE3938"/>
    <w:rsid w:val="00FE3ACB"/>
    <w:rsid w:val="00FE5271"/>
    <w:rsid w:val="00FE5F6F"/>
    <w:rsid w:val="00FE7FB0"/>
    <w:rsid w:val="00FF2171"/>
    <w:rsid w:val="00FF3F9B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0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0A57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20A57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573B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2DBE"/>
    <w:pPr>
      <w:jc w:val="center"/>
    </w:pPr>
    <w:rPr>
      <w:b/>
      <w:bCs/>
    </w:rPr>
  </w:style>
  <w:style w:type="character" w:styleId="Hyperlink">
    <w:name w:val="Hyperlink"/>
    <w:rsid w:val="00502DBE"/>
    <w:rPr>
      <w:color w:val="000000"/>
      <w:u w:val="single"/>
      <w:shd w:val="clear" w:color="auto" w:fill="auto"/>
    </w:rPr>
  </w:style>
  <w:style w:type="character" w:styleId="Strong">
    <w:name w:val="Strong"/>
    <w:qFormat/>
    <w:rsid w:val="00502DBE"/>
    <w:rPr>
      <w:b/>
      <w:bCs/>
    </w:rPr>
  </w:style>
  <w:style w:type="paragraph" w:styleId="BodyTextIndent">
    <w:name w:val="Body Text Indent"/>
    <w:basedOn w:val="Normal"/>
    <w:rsid w:val="00502DBE"/>
    <w:pPr>
      <w:ind w:left="1440"/>
    </w:pPr>
    <w:rPr>
      <w:b/>
      <w:bCs/>
    </w:rPr>
  </w:style>
  <w:style w:type="paragraph" w:styleId="Header">
    <w:name w:val="header"/>
    <w:basedOn w:val="Normal"/>
    <w:rsid w:val="00502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2DB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502DBE"/>
    <w:pPr>
      <w:ind w:left="720"/>
    </w:pPr>
  </w:style>
  <w:style w:type="character" w:styleId="FollowedHyperlink">
    <w:name w:val="FollowedHyperlink"/>
    <w:rsid w:val="00502DBE"/>
    <w:rPr>
      <w:color w:val="800080"/>
      <w:u w:val="single"/>
    </w:rPr>
  </w:style>
  <w:style w:type="character" w:customStyle="1" w:styleId="redline1">
    <w:name w:val="redline1"/>
    <w:rsid w:val="00502DBE"/>
    <w:rPr>
      <w:b w:val="0"/>
      <w:bCs w:val="0"/>
      <w:i/>
      <w:iCs/>
      <w:color w:val="FF0000"/>
      <w:shd w:val="clear" w:color="auto" w:fill="auto"/>
    </w:rPr>
  </w:style>
  <w:style w:type="paragraph" w:styleId="BalloonText">
    <w:name w:val="Balloon Text"/>
    <w:basedOn w:val="Normal"/>
    <w:semiHidden/>
    <w:rsid w:val="00502D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2D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2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2DBE"/>
    <w:rPr>
      <w:b/>
      <w:bCs/>
    </w:rPr>
  </w:style>
  <w:style w:type="paragraph" w:styleId="ListParagraph">
    <w:name w:val="List Paragraph"/>
    <w:basedOn w:val="Normal"/>
    <w:uiPriority w:val="34"/>
    <w:qFormat/>
    <w:rsid w:val="000526F9"/>
    <w:pPr>
      <w:ind w:left="720"/>
      <w:contextualSpacing/>
    </w:pPr>
  </w:style>
  <w:style w:type="table" w:styleId="TableGrid">
    <w:name w:val="Table Grid"/>
    <w:basedOn w:val="TableNormal"/>
    <w:rsid w:val="003B5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A94043"/>
    <w:rPr>
      <w:sz w:val="24"/>
      <w:szCs w:val="24"/>
    </w:rPr>
  </w:style>
  <w:style w:type="paragraph" w:customStyle="1" w:styleId="Default">
    <w:name w:val="Default"/>
    <w:rsid w:val="00C4797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C404F4"/>
  </w:style>
  <w:style w:type="character" w:customStyle="1" w:styleId="Heading1Char">
    <w:name w:val="Heading 1 Char"/>
    <w:basedOn w:val="DefaultParagraphFont"/>
    <w:link w:val="Heading1"/>
    <w:rsid w:val="00920A57"/>
    <w:rPr>
      <w:rFonts w:eastAsiaTheme="majorEastAsia" w:cstheme="majorBidi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20A57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customStyle="1" w:styleId="LowerAlphaList">
    <w:name w:val="Lower Alpha List"/>
    <w:basedOn w:val="Normal"/>
    <w:qFormat/>
    <w:rsid w:val="00920A57"/>
    <w:pPr>
      <w:widowControl w:val="0"/>
      <w:ind w:left="360" w:hanging="360"/>
      <w:outlineLvl w:val="0"/>
    </w:pPr>
  </w:style>
  <w:style w:type="paragraph" w:customStyle="1" w:styleId="NumberList">
    <w:name w:val="Number List"/>
    <w:basedOn w:val="Default"/>
    <w:qFormat/>
    <w:rsid w:val="008C5E68"/>
    <w:pPr>
      <w:ind w:left="720"/>
    </w:pPr>
    <w:rPr>
      <w:szCs w:val="20"/>
    </w:rPr>
  </w:style>
  <w:style w:type="character" w:customStyle="1" w:styleId="Heading3Char">
    <w:name w:val="Heading 3 Char"/>
    <w:basedOn w:val="DefaultParagraphFont"/>
    <w:link w:val="Heading3"/>
    <w:rsid w:val="007573B8"/>
    <w:rPr>
      <w:rFonts w:eastAsiaTheme="majorEastAsia" w:cstheme="majorBidi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0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0A57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20A57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573B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2DBE"/>
    <w:pPr>
      <w:jc w:val="center"/>
    </w:pPr>
    <w:rPr>
      <w:b/>
      <w:bCs/>
    </w:rPr>
  </w:style>
  <w:style w:type="character" w:styleId="Hyperlink">
    <w:name w:val="Hyperlink"/>
    <w:rsid w:val="00502DBE"/>
    <w:rPr>
      <w:color w:val="000000"/>
      <w:u w:val="single"/>
      <w:shd w:val="clear" w:color="auto" w:fill="auto"/>
    </w:rPr>
  </w:style>
  <w:style w:type="character" w:styleId="Strong">
    <w:name w:val="Strong"/>
    <w:qFormat/>
    <w:rsid w:val="00502DBE"/>
    <w:rPr>
      <w:b/>
      <w:bCs/>
    </w:rPr>
  </w:style>
  <w:style w:type="paragraph" w:styleId="BodyTextIndent">
    <w:name w:val="Body Text Indent"/>
    <w:basedOn w:val="Normal"/>
    <w:rsid w:val="00502DBE"/>
    <w:pPr>
      <w:ind w:left="1440"/>
    </w:pPr>
    <w:rPr>
      <w:b/>
      <w:bCs/>
    </w:rPr>
  </w:style>
  <w:style w:type="paragraph" w:styleId="Header">
    <w:name w:val="header"/>
    <w:basedOn w:val="Normal"/>
    <w:rsid w:val="00502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2DB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502DBE"/>
    <w:pPr>
      <w:ind w:left="720"/>
    </w:pPr>
  </w:style>
  <w:style w:type="character" w:styleId="FollowedHyperlink">
    <w:name w:val="FollowedHyperlink"/>
    <w:rsid w:val="00502DBE"/>
    <w:rPr>
      <w:color w:val="800080"/>
      <w:u w:val="single"/>
    </w:rPr>
  </w:style>
  <w:style w:type="character" w:customStyle="1" w:styleId="redline1">
    <w:name w:val="redline1"/>
    <w:rsid w:val="00502DBE"/>
    <w:rPr>
      <w:b w:val="0"/>
      <w:bCs w:val="0"/>
      <w:i/>
      <w:iCs/>
      <w:color w:val="FF0000"/>
      <w:shd w:val="clear" w:color="auto" w:fill="auto"/>
    </w:rPr>
  </w:style>
  <w:style w:type="paragraph" w:styleId="BalloonText">
    <w:name w:val="Balloon Text"/>
    <w:basedOn w:val="Normal"/>
    <w:semiHidden/>
    <w:rsid w:val="00502D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2D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2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2DBE"/>
    <w:rPr>
      <w:b/>
      <w:bCs/>
    </w:rPr>
  </w:style>
  <w:style w:type="paragraph" w:styleId="ListParagraph">
    <w:name w:val="List Paragraph"/>
    <w:basedOn w:val="Normal"/>
    <w:uiPriority w:val="34"/>
    <w:qFormat/>
    <w:rsid w:val="000526F9"/>
    <w:pPr>
      <w:ind w:left="720"/>
      <w:contextualSpacing/>
    </w:pPr>
  </w:style>
  <w:style w:type="table" w:styleId="TableGrid">
    <w:name w:val="Table Grid"/>
    <w:basedOn w:val="TableNormal"/>
    <w:rsid w:val="003B5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A94043"/>
    <w:rPr>
      <w:sz w:val="24"/>
      <w:szCs w:val="24"/>
    </w:rPr>
  </w:style>
  <w:style w:type="paragraph" w:customStyle="1" w:styleId="Default">
    <w:name w:val="Default"/>
    <w:rsid w:val="00C4797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C404F4"/>
  </w:style>
  <w:style w:type="character" w:customStyle="1" w:styleId="Heading1Char">
    <w:name w:val="Heading 1 Char"/>
    <w:basedOn w:val="DefaultParagraphFont"/>
    <w:link w:val="Heading1"/>
    <w:rsid w:val="00920A57"/>
    <w:rPr>
      <w:rFonts w:eastAsiaTheme="majorEastAsia" w:cstheme="majorBidi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20A57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customStyle="1" w:styleId="LowerAlphaList">
    <w:name w:val="Lower Alpha List"/>
    <w:basedOn w:val="Normal"/>
    <w:qFormat/>
    <w:rsid w:val="00920A57"/>
    <w:pPr>
      <w:widowControl w:val="0"/>
      <w:ind w:left="360" w:hanging="360"/>
      <w:outlineLvl w:val="0"/>
    </w:pPr>
  </w:style>
  <w:style w:type="paragraph" w:customStyle="1" w:styleId="NumberList">
    <w:name w:val="Number List"/>
    <w:basedOn w:val="Default"/>
    <w:qFormat/>
    <w:rsid w:val="008C5E68"/>
    <w:pPr>
      <w:ind w:left="720"/>
    </w:pPr>
    <w:rPr>
      <w:szCs w:val="20"/>
    </w:rPr>
  </w:style>
  <w:style w:type="character" w:customStyle="1" w:styleId="Heading3Char">
    <w:name w:val="Heading 3 Char"/>
    <w:basedOn w:val="DefaultParagraphFont"/>
    <w:link w:val="Heading3"/>
    <w:rsid w:val="007573B8"/>
    <w:rPr>
      <w:rFonts w:eastAsiaTheme="majorEastAsia" w:cstheme="majorBid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Medicare-Fee-for-Service-Payment/PhysicianFeeSched/PFS-Federal-Regulation-Notice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ms.gov/Center/Provider-Type/Anesthesiologists-Center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cms.gov/Center/Provider-Type/Anesthesiologists-Cen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Medicare-Fee-for-Service-Payment/PhysicianFeeSched/PFS-Federal-Regulation-Notices.html?DLSort=2&amp;DLEntries=10&amp;DLPage=1&amp;DLSortDir=descend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2CD64-C04E-4975-852E-5EE4EB44376E}"/>
</file>

<file path=customXml/itemProps2.xml><?xml version="1.0" encoding="utf-8"?>
<ds:datastoreItem xmlns:ds="http://schemas.openxmlformats.org/officeDocument/2006/customXml" ds:itemID="{0BE7F41C-CC93-400D-A617-884DD469B055}"/>
</file>

<file path=customXml/itemProps3.xml><?xml version="1.0" encoding="utf-8"?>
<ds:datastoreItem xmlns:ds="http://schemas.openxmlformats.org/officeDocument/2006/customXml" ds:itemID="{1929FA60-8794-40CC-AC1F-FD58D5A91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OMFS Update for Physician and Non-Physician Practitioner ServicesExplanation of Changes(Effective January 1, 2018)</vt:lpstr>
    </vt:vector>
  </TitlesOfParts>
  <LinksUpToDate>false</LinksUpToDate>
  <CharactersWithSpaces>13354</CharactersWithSpaces>
  <SharedDoc>false</SharedDoc>
  <HLinks>
    <vt:vector size="30" baseType="variant"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https://www.cms.gov/Center/Provider-Type/Anesthesiologists-Center.html</vt:lpwstr>
      </vt:variant>
      <vt:variant>
        <vt:lpwstr/>
      </vt:variant>
      <vt:variant>
        <vt:i4>262231</vt:i4>
      </vt:variant>
      <vt:variant>
        <vt:i4>9</vt:i4>
      </vt:variant>
      <vt:variant>
        <vt:i4>0</vt:i4>
      </vt:variant>
      <vt:variant>
        <vt:i4>5</vt:i4>
      </vt:variant>
      <vt:variant>
        <vt:lpwstr>http://www.cms.gov/Center/Provider-Type/Anesthesiologists-Center.html</vt:lpwstr>
      </vt:variant>
      <vt:variant>
        <vt:lpwstr/>
      </vt:variant>
      <vt:variant>
        <vt:i4>2293871</vt:i4>
      </vt:variant>
      <vt:variant>
        <vt:i4>6</vt:i4>
      </vt:variant>
      <vt:variant>
        <vt:i4>0</vt:i4>
      </vt:variant>
      <vt:variant>
        <vt:i4>5</vt:i4>
      </vt:variant>
      <vt:variant>
        <vt:lpwstr>https://www.cms.gov/Center/Provider-Type/Anesthesiologists-Center.html</vt:lpwstr>
      </vt:variant>
      <vt:variant>
        <vt:lpwstr/>
      </vt:variant>
      <vt:variant>
        <vt:i4>7405608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https://www.cms.gov/Medicare/Medicare-Fee-for-Service-Payment/PhysicianFeeSched/PFS-Federal-Regulation-Notices.html?DLSort=2&amp;DLEntries=10&amp;DLPage=1&amp;DLSortDir=descending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https://www.cms.gov/Medicare/Medicare-Fee-for-Service-Payment/PhysicianFeeSched/PFS-Federal-Regulation-Notices.html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OMFS Update for Physician and Non-Physician Practitioner ServicesExplanation of Changes(Effective January 1, 2018)</dc:title>
  <dc:creator/>
  <cp:lastModifiedBy/>
  <cp:revision>1</cp:revision>
  <dcterms:created xsi:type="dcterms:W3CDTF">2021-06-25T10:20:00Z</dcterms:created>
  <dcterms:modified xsi:type="dcterms:W3CDTF">2021-06-30T09:36:00Z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